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07BD" w14:textId="77777777" w:rsidR="00AC4332" w:rsidRPr="00AC4332" w:rsidRDefault="00AC4332" w:rsidP="00AC4332">
      <w:pPr>
        <w:pStyle w:val="Heading2"/>
      </w:pPr>
      <w:r w:rsidRPr="00AC4332">
        <w:t>1</w:t>
      </w:r>
      <w:r w:rsidRPr="00AC4332">
        <w:tab/>
        <w:t>Background and context</w:t>
      </w:r>
    </w:p>
    <w:p w14:paraId="2B55A61E" w14:textId="77777777" w:rsidR="00AC4332" w:rsidRPr="00AC4332" w:rsidRDefault="00AC4332" w:rsidP="00AC4332">
      <w:r w:rsidRPr="00AC4332">
        <w:t>1.1</w:t>
      </w:r>
      <w:r w:rsidRPr="00AC4332">
        <w:tab/>
        <w:t xml:space="preserve">The </w:t>
      </w:r>
      <w:r>
        <w:t xml:space="preserve">creation of new unitary councils to replace the county council brings the opportunity to consider new ways of working between </w:t>
      </w:r>
      <w:r w:rsidRPr="00AC4332">
        <w:t xml:space="preserve">the local authority and its school leaders (head teachers </w:t>
      </w:r>
      <w:proofErr w:type="gramStart"/>
      <w:r w:rsidRPr="00AC4332">
        <w:t>of</w:t>
      </w:r>
      <w:proofErr w:type="gramEnd"/>
      <w:r w:rsidRPr="00AC4332">
        <w:t xml:space="preserve"> schools and academies in </w:t>
      </w:r>
      <w:r>
        <w:t>West Northants</w:t>
      </w:r>
      <w:r w:rsidRPr="00AC4332">
        <w:t>, and chief executives of local academy trusts).</w:t>
      </w:r>
    </w:p>
    <w:p w14:paraId="0FD2992E" w14:textId="77777777" w:rsidR="00AC4332" w:rsidRDefault="00AC4332" w:rsidP="00AC4332">
      <w:r w:rsidRPr="00AC4332">
        <w:t>1.2</w:t>
      </w:r>
      <w:r w:rsidRPr="00AC4332">
        <w:tab/>
        <w:t xml:space="preserve">However, </w:t>
      </w:r>
      <w:r>
        <w:t xml:space="preserve">it can be argued that </w:t>
      </w:r>
      <w:r w:rsidR="00700482">
        <w:t>the relationship between local authorities and schools form is only one of several, as the ‘middle tier’ role – that is, the tier sitting between the government and individual schools – has for some time been far wider than was the case for most of the twentieth century.  Then, the middle tier comprised the local authority, and Church of England (</w:t>
      </w:r>
      <w:proofErr w:type="spellStart"/>
      <w:r w:rsidR="00700482">
        <w:t>CoE</w:t>
      </w:r>
      <w:proofErr w:type="spellEnd"/>
      <w:r w:rsidR="00700482">
        <w:t xml:space="preserve">) and Roman Catholic (RC) dioceses in respect of church schools.  </w:t>
      </w:r>
    </w:p>
    <w:p w14:paraId="1D4B29BE" w14:textId="77777777" w:rsidR="00C40375" w:rsidRDefault="0012466E" w:rsidP="00AC4332">
      <w:r>
        <w:t>1.3</w:t>
      </w:r>
      <w:r>
        <w:tab/>
        <w:t xml:space="preserve">In the context of the 2020s, the whole notion of local authority / schools structures seems old-fashioned.  It is based on </w:t>
      </w:r>
      <w:r w:rsidR="00514651" w:rsidRPr="00AC4332">
        <w:t>a notion of the local authority role in education that is outdated, as the historic role of councils as the ‘middle tier’ between schools (the direct providers), and the government (the legislator and funder) is now complemented by a much wider range of organisations.</w:t>
      </w:r>
      <w:r w:rsidR="00C40375">
        <w:t xml:space="preserve">  </w:t>
      </w:r>
    </w:p>
    <w:p w14:paraId="678D220E" w14:textId="77777777" w:rsidR="0012466E" w:rsidRDefault="00C40375" w:rsidP="00AC4332">
      <w:r>
        <w:t>1.4</w:t>
      </w:r>
      <w:r>
        <w:tab/>
        <w:t xml:space="preserve">One useful study </w:t>
      </w:r>
      <w:r w:rsidRPr="00C40375">
        <w:t xml:space="preserve">is by Toby </w:t>
      </w:r>
      <w:proofErr w:type="spellStart"/>
      <w:r w:rsidRPr="00C40375">
        <w:t>Greany</w:t>
      </w:r>
      <w:proofErr w:type="spellEnd"/>
      <w:r w:rsidRPr="00C40375">
        <w:t xml:space="preserve"> (see </w:t>
      </w:r>
      <w:hyperlink r:id="rId11" w:history="1">
        <w:r w:rsidRPr="00A6332E">
          <w:rPr>
            <w:color w:val="37269A"/>
          </w:rPr>
          <w:t>here</w:t>
        </w:r>
      </w:hyperlink>
      <w:r w:rsidRPr="00C40375">
        <w:t xml:space="preserve">), which explains the development of the second tier in England in the context of both school-level autonomy and national oversight increasing significantly since the 1970s (but particularly since the early 1990s following the implementation of the Great Education Reform Act,1988 – see </w:t>
      </w:r>
      <w:hyperlink r:id="rId12" w:history="1">
        <w:r w:rsidRPr="00A6332E">
          <w:rPr>
            <w:color w:val="37269A"/>
          </w:rPr>
          <w:t>here</w:t>
        </w:r>
      </w:hyperlink>
      <w:r w:rsidRPr="00C40375">
        <w:t xml:space="preserve">).  </w:t>
      </w:r>
      <w:proofErr w:type="spellStart"/>
      <w:r w:rsidRPr="00C40375">
        <w:t>Greany</w:t>
      </w:r>
      <w:proofErr w:type="spellEnd"/>
      <w:r w:rsidRPr="00C40375">
        <w:t xml:space="preserve"> notes that ‘</w:t>
      </w:r>
      <w:r>
        <w:t>b</w:t>
      </w:r>
      <w:r w:rsidRPr="00C40375">
        <w:t>y 2009 school leaders in England were ranked among the most autonomous in the world in terms their decision making powers</w:t>
      </w:r>
      <w:r w:rsidR="00A6332E">
        <w:t>’</w:t>
      </w:r>
      <w:r w:rsidRPr="00C40375">
        <w:t xml:space="preserve"> (OECD </w:t>
      </w:r>
      <w:hyperlink r:id="rId13" w:history="1">
        <w:r w:rsidRPr="00C40375">
          <w:t>2011</w:t>
        </w:r>
      </w:hyperlink>
      <w:r w:rsidRPr="00C40375">
        <w:t>).</w:t>
      </w:r>
    </w:p>
    <w:p w14:paraId="2C607098" w14:textId="77777777" w:rsidR="00AC4332" w:rsidRPr="00AC4332" w:rsidRDefault="00AC4332" w:rsidP="00AC4332">
      <w:r w:rsidRPr="00AC4332">
        <w:t>1.</w:t>
      </w:r>
      <w:r w:rsidR="00321605">
        <w:t>5</w:t>
      </w:r>
      <w:r w:rsidRPr="00AC4332">
        <w:tab/>
        <w:t xml:space="preserve">In the next sections, </w:t>
      </w:r>
      <w:r w:rsidR="00321605">
        <w:t xml:space="preserve">the middle tier is described before </w:t>
      </w:r>
      <w:r w:rsidRPr="00AC4332">
        <w:t xml:space="preserve">arrangements for the future that ensure good communication across all parties concerned with the education of children and young people in </w:t>
      </w:r>
      <w:r>
        <w:t>West Northants</w:t>
      </w:r>
      <w:r w:rsidRPr="00AC4332">
        <w:t xml:space="preserve"> – and specifically, the constitution and remit of such a group – are set out.  </w:t>
      </w:r>
    </w:p>
    <w:p w14:paraId="0ACC3437" w14:textId="77777777" w:rsidR="00321605" w:rsidRDefault="00321605" w:rsidP="00321605">
      <w:pPr>
        <w:pStyle w:val="Heading2"/>
      </w:pPr>
      <w:r>
        <w:t>2</w:t>
      </w:r>
      <w:r>
        <w:tab/>
        <w:t>The middle tier in the English education system</w:t>
      </w:r>
    </w:p>
    <w:p w14:paraId="56FBCFE9" w14:textId="77777777" w:rsidR="00AC4332" w:rsidRPr="00AC4332" w:rsidRDefault="00321605" w:rsidP="00AC4332">
      <w:pPr>
        <w:spacing w:after="60"/>
      </w:pPr>
      <w:r>
        <w:t>2.1</w:t>
      </w:r>
      <w:r w:rsidR="00AC4332" w:rsidRPr="00AC4332">
        <w:tab/>
        <w:t xml:space="preserve">Middle tier organisations and agencies now include, in addition to ‘top-tier’ local authorities, the regional schools commissioner (RSC), multi-academy trusts (MATs), </w:t>
      </w:r>
      <w:bookmarkStart w:id="0" w:name="_Hlk69891153"/>
      <w:r w:rsidR="00AC4332" w:rsidRPr="00AC4332">
        <w:t>diocesan boards and teaching schools</w:t>
      </w:r>
      <w:bookmarkEnd w:id="0"/>
      <w:r w:rsidR="00AC4332" w:rsidRPr="00AC4332">
        <w:t>.  The middle tier role comprises:</w:t>
      </w:r>
    </w:p>
    <w:p w14:paraId="156404C0" w14:textId="77777777" w:rsidR="00AC4332" w:rsidRPr="00AC4332" w:rsidRDefault="00AC4332" w:rsidP="00AB4E8F">
      <w:pPr>
        <w:numPr>
          <w:ilvl w:val="0"/>
          <w:numId w:val="15"/>
        </w:numPr>
        <w:spacing w:after="70" w:line="252" w:lineRule="auto"/>
        <w:ind w:left="425" w:hanging="425"/>
      </w:pPr>
      <w:r w:rsidRPr="00AC4332">
        <w:t>finance (allocating funding and monitoring expenditure</w:t>
      </w:r>
      <w:proofErr w:type="gramStart"/>
      <w:r w:rsidRPr="00AC4332">
        <w:t>);</w:t>
      </w:r>
      <w:proofErr w:type="gramEnd"/>
      <w:r w:rsidRPr="00AC4332">
        <w:t xml:space="preserve"> </w:t>
      </w:r>
    </w:p>
    <w:p w14:paraId="3916EAD4" w14:textId="77777777" w:rsidR="00AC4332" w:rsidRPr="00AC4332" w:rsidRDefault="00AC4332" w:rsidP="00AB4E8F">
      <w:pPr>
        <w:numPr>
          <w:ilvl w:val="0"/>
          <w:numId w:val="15"/>
        </w:numPr>
        <w:spacing w:after="70" w:line="252" w:lineRule="auto"/>
        <w:ind w:left="425" w:hanging="425"/>
      </w:pPr>
      <w:r w:rsidRPr="00AC4332">
        <w:t>accountability (including holding schools accountable and providing improvement</w:t>
      </w:r>
      <w:r w:rsidR="00AB4E8F">
        <w:t xml:space="preserve"> </w:t>
      </w:r>
      <w:r w:rsidRPr="00AC4332">
        <w:t>support</w:t>
      </w:r>
      <w:proofErr w:type="gramStart"/>
      <w:r w:rsidRPr="00AC4332">
        <w:t>);</w:t>
      </w:r>
      <w:proofErr w:type="gramEnd"/>
      <w:r w:rsidRPr="00AC4332">
        <w:t xml:space="preserve"> </w:t>
      </w:r>
    </w:p>
    <w:p w14:paraId="3F3B9FE2" w14:textId="77777777" w:rsidR="00AC4332" w:rsidRDefault="00AC4332" w:rsidP="00AB4E8F">
      <w:pPr>
        <w:numPr>
          <w:ilvl w:val="0"/>
          <w:numId w:val="15"/>
        </w:numPr>
        <w:spacing w:after="70" w:line="252" w:lineRule="auto"/>
        <w:ind w:left="425" w:hanging="425"/>
      </w:pPr>
      <w:r w:rsidRPr="00AC4332">
        <w:t>access (planning and allocating school places, ensuring provision for children with additional needs or at risk of exclusion</w:t>
      </w:r>
      <w:proofErr w:type="gramStart"/>
      <w:r w:rsidRPr="00AC4332">
        <w:t>);</w:t>
      </w:r>
      <w:proofErr w:type="gramEnd"/>
    </w:p>
    <w:p w14:paraId="6D7164E9" w14:textId="77777777" w:rsidR="00AB4E8F" w:rsidRDefault="00AC4332" w:rsidP="00AB4E8F">
      <w:pPr>
        <w:numPr>
          <w:ilvl w:val="0"/>
          <w:numId w:val="15"/>
        </w:numPr>
        <w:spacing w:after="70" w:line="252" w:lineRule="auto"/>
        <w:ind w:left="425" w:hanging="425"/>
      </w:pPr>
      <w:r w:rsidRPr="00AC4332">
        <w:t>people (professional development, employment and performance management</w:t>
      </w:r>
      <w:proofErr w:type="gramStart"/>
      <w:r w:rsidRPr="00AC4332">
        <w:t>);</w:t>
      </w:r>
      <w:proofErr w:type="gramEnd"/>
      <w:r w:rsidRPr="00AC4332">
        <w:t xml:space="preserve"> </w:t>
      </w:r>
    </w:p>
    <w:p w14:paraId="3239273F" w14:textId="77777777" w:rsidR="00AC4332" w:rsidRPr="00AC4332" w:rsidRDefault="00AB4E8F" w:rsidP="00AB4E8F">
      <w:pPr>
        <w:numPr>
          <w:ilvl w:val="0"/>
          <w:numId w:val="15"/>
        </w:numPr>
        <w:spacing w:after="70" w:line="252" w:lineRule="auto"/>
        <w:ind w:left="425" w:hanging="425"/>
      </w:pPr>
      <w:r>
        <w:t xml:space="preserve">school effectiveness (support and challenge for schools of concern); </w:t>
      </w:r>
      <w:r w:rsidR="00AC4332" w:rsidRPr="00AC4332">
        <w:t>and</w:t>
      </w:r>
    </w:p>
    <w:p w14:paraId="55A3653E" w14:textId="77777777" w:rsidR="00AC4332" w:rsidRPr="00AC4332" w:rsidRDefault="00AC4332" w:rsidP="00AC4332">
      <w:pPr>
        <w:numPr>
          <w:ilvl w:val="0"/>
          <w:numId w:val="15"/>
        </w:numPr>
        <w:spacing w:after="180" w:line="252" w:lineRule="auto"/>
        <w:ind w:left="425" w:hanging="425"/>
      </w:pPr>
      <w:r w:rsidRPr="00AC4332">
        <w:t>The development and maintenance of agreed area principles, aims, objectives and strategy.</w:t>
      </w:r>
    </w:p>
    <w:p w14:paraId="786FCEB1" w14:textId="77777777" w:rsidR="00AC4332" w:rsidRPr="00AC4332" w:rsidRDefault="00321605" w:rsidP="00AC4332">
      <w:r>
        <w:t>2.2</w:t>
      </w:r>
      <w:r w:rsidR="00AC4332" w:rsidRPr="00AC4332">
        <w:tab/>
        <w:t>The middle tier agency responsible for these functions is set out in the table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196"/>
      </w:tblGrid>
      <w:tr w:rsidR="00AC4332" w:rsidRPr="00AC4332" w14:paraId="212F0C51" w14:textId="77777777" w:rsidTr="00AB4E8F">
        <w:tc>
          <w:tcPr>
            <w:tcW w:w="2127" w:type="dxa"/>
            <w:tcBorders>
              <w:bottom w:val="single" w:sz="4" w:space="0" w:color="auto"/>
            </w:tcBorders>
          </w:tcPr>
          <w:p w14:paraId="74594DF7" w14:textId="77777777" w:rsidR="00AC4332" w:rsidRPr="00AC4332" w:rsidRDefault="00AC4332" w:rsidP="00AC4332">
            <w:pPr>
              <w:spacing w:before="70" w:after="70" w:line="240" w:lineRule="auto"/>
              <w:jc w:val="center"/>
              <w:rPr>
                <w:b/>
                <w:bCs/>
              </w:rPr>
            </w:pPr>
            <w:r w:rsidRPr="00AC4332">
              <w:rPr>
                <w:b/>
                <w:bCs/>
              </w:rPr>
              <w:t>role</w:t>
            </w:r>
          </w:p>
        </w:tc>
        <w:tc>
          <w:tcPr>
            <w:tcW w:w="7196" w:type="dxa"/>
            <w:tcBorders>
              <w:bottom w:val="single" w:sz="4" w:space="0" w:color="auto"/>
            </w:tcBorders>
          </w:tcPr>
          <w:p w14:paraId="2110EBB4" w14:textId="77777777" w:rsidR="00AC4332" w:rsidRPr="00AC4332" w:rsidRDefault="00AC4332" w:rsidP="00AC4332">
            <w:pPr>
              <w:spacing w:before="70" w:after="70" w:line="240" w:lineRule="auto"/>
              <w:jc w:val="center"/>
              <w:rPr>
                <w:b/>
                <w:bCs/>
              </w:rPr>
            </w:pPr>
            <w:r w:rsidRPr="00AC4332">
              <w:rPr>
                <w:b/>
                <w:bCs/>
              </w:rPr>
              <w:t>agency</w:t>
            </w:r>
          </w:p>
        </w:tc>
      </w:tr>
      <w:tr w:rsidR="00AC4332" w:rsidRPr="00AC4332" w14:paraId="0121C828" w14:textId="77777777" w:rsidTr="00AB4E8F">
        <w:tc>
          <w:tcPr>
            <w:tcW w:w="2127" w:type="dxa"/>
            <w:tcBorders>
              <w:top w:val="single" w:sz="4" w:space="0" w:color="auto"/>
            </w:tcBorders>
          </w:tcPr>
          <w:p w14:paraId="24F8548C" w14:textId="77777777" w:rsidR="00AC4332" w:rsidRPr="00AC4332" w:rsidRDefault="00AC4332" w:rsidP="00AC4332">
            <w:pPr>
              <w:spacing w:before="70" w:after="70" w:line="240" w:lineRule="auto"/>
            </w:pPr>
            <w:r w:rsidRPr="00AC4332">
              <w:t>finance</w:t>
            </w:r>
          </w:p>
        </w:tc>
        <w:tc>
          <w:tcPr>
            <w:tcW w:w="7196" w:type="dxa"/>
            <w:tcBorders>
              <w:top w:val="single" w:sz="4" w:space="0" w:color="auto"/>
            </w:tcBorders>
          </w:tcPr>
          <w:p w14:paraId="65D03F85" w14:textId="77777777" w:rsidR="00AC4332" w:rsidRPr="00AC4332" w:rsidRDefault="00AC4332" w:rsidP="00AC4332">
            <w:pPr>
              <w:spacing w:before="70" w:after="70" w:line="240" w:lineRule="auto"/>
            </w:pPr>
            <w:r w:rsidRPr="00AC4332">
              <w:t>schools forum – formally a council committee, but independent of it</w:t>
            </w:r>
          </w:p>
        </w:tc>
      </w:tr>
      <w:tr w:rsidR="00AC4332" w:rsidRPr="00AC4332" w14:paraId="17E21D5B" w14:textId="77777777" w:rsidTr="00AB4E8F">
        <w:tc>
          <w:tcPr>
            <w:tcW w:w="2127" w:type="dxa"/>
            <w:shd w:val="clear" w:color="auto" w:fill="EAF1DD" w:themeFill="accent3" w:themeFillTint="33"/>
          </w:tcPr>
          <w:p w14:paraId="08085D28" w14:textId="77777777" w:rsidR="00AC4332" w:rsidRPr="00AC4332" w:rsidRDefault="00AC4332" w:rsidP="00AC4332">
            <w:pPr>
              <w:spacing w:before="70" w:after="70" w:line="240" w:lineRule="auto"/>
            </w:pPr>
            <w:r w:rsidRPr="00AC4332">
              <w:t>accountability</w:t>
            </w:r>
          </w:p>
        </w:tc>
        <w:tc>
          <w:tcPr>
            <w:tcW w:w="7196" w:type="dxa"/>
            <w:shd w:val="clear" w:color="auto" w:fill="EAF1DD" w:themeFill="accent3" w:themeFillTint="33"/>
          </w:tcPr>
          <w:p w14:paraId="43EA8AF8" w14:textId="77777777" w:rsidR="00AC4332" w:rsidRPr="00AC4332" w:rsidRDefault="00AC4332" w:rsidP="00AC4332">
            <w:pPr>
              <w:spacing w:before="70" w:after="70" w:line="240" w:lineRule="auto"/>
            </w:pPr>
            <w:r w:rsidRPr="00AC4332">
              <w:t>the LA (maintained schools), the RSC (academies) and MATs (trust schools)</w:t>
            </w:r>
          </w:p>
        </w:tc>
      </w:tr>
      <w:tr w:rsidR="00AC4332" w:rsidRPr="00AC4332" w14:paraId="70B906FE" w14:textId="77777777" w:rsidTr="00AB4E8F">
        <w:tc>
          <w:tcPr>
            <w:tcW w:w="2127" w:type="dxa"/>
          </w:tcPr>
          <w:p w14:paraId="588CF257" w14:textId="77777777" w:rsidR="00AC4332" w:rsidRPr="00AC4332" w:rsidRDefault="00AC4332" w:rsidP="00AC4332">
            <w:pPr>
              <w:spacing w:before="70" w:after="70" w:line="240" w:lineRule="auto"/>
            </w:pPr>
            <w:r w:rsidRPr="00AC4332">
              <w:t>access</w:t>
            </w:r>
          </w:p>
        </w:tc>
        <w:tc>
          <w:tcPr>
            <w:tcW w:w="7196" w:type="dxa"/>
          </w:tcPr>
          <w:p w14:paraId="3239DBFB" w14:textId="77777777" w:rsidR="00AC4332" w:rsidRPr="00AC4332" w:rsidRDefault="00AC4332" w:rsidP="00AC4332">
            <w:pPr>
              <w:spacing w:before="70" w:after="70" w:line="240" w:lineRule="auto"/>
            </w:pPr>
            <w:r w:rsidRPr="00AC4332">
              <w:t>the LA (exclusively responsible for these functions in its area)</w:t>
            </w:r>
          </w:p>
        </w:tc>
      </w:tr>
      <w:tr w:rsidR="00AC4332" w:rsidRPr="00AC4332" w14:paraId="0053FC3A" w14:textId="77777777" w:rsidTr="00AB4E8F">
        <w:tc>
          <w:tcPr>
            <w:tcW w:w="2127" w:type="dxa"/>
            <w:shd w:val="clear" w:color="auto" w:fill="EAF1DD" w:themeFill="accent3" w:themeFillTint="33"/>
          </w:tcPr>
          <w:p w14:paraId="054E442D" w14:textId="77777777" w:rsidR="00AC4332" w:rsidRPr="00AC4332" w:rsidRDefault="00AC4332" w:rsidP="00AC4332">
            <w:pPr>
              <w:spacing w:before="70" w:after="70" w:line="240" w:lineRule="auto"/>
            </w:pPr>
            <w:r w:rsidRPr="00AC4332">
              <w:t>people</w:t>
            </w:r>
          </w:p>
        </w:tc>
        <w:tc>
          <w:tcPr>
            <w:tcW w:w="7196" w:type="dxa"/>
            <w:shd w:val="clear" w:color="auto" w:fill="EAF1DD" w:themeFill="accent3" w:themeFillTint="33"/>
          </w:tcPr>
          <w:p w14:paraId="269A163D" w14:textId="77777777" w:rsidR="00AC4332" w:rsidRPr="00AC4332" w:rsidRDefault="00AC4332" w:rsidP="00AC4332">
            <w:pPr>
              <w:spacing w:before="70" w:after="70" w:line="240" w:lineRule="auto"/>
            </w:pPr>
            <w:r w:rsidRPr="00AC4332">
              <w:t>the LA (maintained schools), MATs, teaching schools, market providers</w:t>
            </w:r>
          </w:p>
        </w:tc>
      </w:tr>
      <w:tr w:rsidR="00AB4E8F" w:rsidRPr="00AC4332" w14:paraId="32962699" w14:textId="77777777" w:rsidTr="00AB4E8F">
        <w:tc>
          <w:tcPr>
            <w:tcW w:w="2127" w:type="dxa"/>
            <w:shd w:val="clear" w:color="auto" w:fill="FFFFFF" w:themeFill="background1"/>
          </w:tcPr>
          <w:p w14:paraId="30FFFD49" w14:textId="77777777" w:rsidR="00AB4E8F" w:rsidRPr="00AC4332" w:rsidRDefault="00AB4E8F" w:rsidP="00AC4332">
            <w:pPr>
              <w:spacing w:before="70" w:after="70" w:line="240" w:lineRule="auto"/>
            </w:pPr>
            <w:r>
              <w:t xml:space="preserve">School effectiveness </w:t>
            </w:r>
          </w:p>
        </w:tc>
        <w:tc>
          <w:tcPr>
            <w:tcW w:w="7196" w:type="dxa"/>
            <w:shd w:val="clear" w:color="auto" w:fill="FFFFFF" w:themeFill="background1"/>
          </w:tcPr>
          <w:p w14:paraId="67A4A68C" w14:textId="77777777" w:rsidR="00AB4E8F" w:rsidRPr="00AC4332" w:rsidRDefault="00AB4E8F" w:rsidP="00AC4332">
            <w:pPr>
              <w:spacing w:before="70" w:after="70" w:line="240" w:lineRule="auto"/>
            </w:pPr>
            <w:r>
              <w:t>The LA for maintained schools, the RSC for academy schools</w:t>
            </w:r>
          </w:p>
        </w:tc>
      </w:tr>
      <w:tr w:rsidR="00AC4332" w:rsidRPr="00AC4332" w14:paraId="47410BA4" w14:textId="77777777" w:rsidTr="00AB4E8F">
        <w:tc>
          <w:tcPr>
            <w:tcW w:w="2127" w:type="dxa"/>
            <w:tcBorders>
              <w:bottom w:val="single" w:sz="4" w:space="0" w:color="auto"/>
            </w:tcBorders>
            <w:shd w:val="clear" w:color="auto" w:fill="EAF1DD" w:themeFill="accent3" w:themeFillTint="33"/>
          </w:tcPr>
          <w:p w14:paraId="455377F9" w14:textId="77777777" w:rsidR="00AC4332" w:rsidRPr="00AC4332" w:rsidRDefault="00AC4332" w:rsidP="00AC4332">
            <w:pPr>
              <w:spacing w:before="70" w:after="70" w:line="240" w:lineRule="auto"/>
            </w:pPr>
            <w:r w:rsidRPr="00AC4332">
              <w:t>strategy</w:t>
            </w:r>
          </w:p>
        </w:tc>
        <w:tc>
          <w:tcPr>
            <w:tcW w:w="7196" w:type="dxa"/>
            <w:tcBorders>
              <w:bottom w:val="single" w:sz="4" w:space="0" w:color="auto"/>
            </w:tcBorders>
            <w:shd w:val="clear" w:color="auto" w:fill="EAF1DD" w:themeFill="accent3" w:themeFillTint="33"/>
          </w:tcPr>
          <w:p w14:paraId="2E2E74BC" w14:textId="77777777" w:rsidR="00AC4332" w:rsidRPr="00AC4332" w:rsidRDefault="00AC4332" w:rsidP="00AC4332">
            <w:pPr>
              <w:spacing w:before="70" w:after="70" w:line="240" w:lineRule="auto"/>
            </w:pPr>
            <w:r w:rsidRPr="00AC4332">
              <w:t>all agencies, schools and trusts, co-ordinated by the local authority</w:t>
            </w:r>
          </w:p>
        </w:tc>
      </w:tr>
    </w:tbl>
    <w:p w14:paraId="25686706" w14:textId="77777777" w:rsidR="00AC4332" w:rsidRPr="00AC4332" w:rsidRDefault="00A9664E" w:rsidP="00AC4332">
      <w:pPr>
        <w:pStyle w:val="Heading2"/>
      </w:pPr>
      <w:r>
        <w:lastRenderedPageBreak/>
        <w:t>3</w:t>
      </w:r>
      <w:r w:rsidR="00AC4332" w:rsidRPr="00AC4332">
        <w:tab/>
        <w:t>Proposed group constitution</w:t>
      </w:r>
    </w:p>
    <w:p w14:paraId="31451FDB" w14:textId="77777777" w:rsidR="00AC4332" w:rsidRPr="00AC4332" w:rsidRDefault="00A9664E" w:rsidP="00AC4332">
      <w:r>
        <w:t>3</w:t>
      </w:r>
      <w:r w:rsidR="00AC4332" w:rsidRPr="00AC4332">
        <w:t>.1</w:t>
      </w:r>
      <w:r w:rsidR="00AC4332" w:rsidRPr="00AC4332">
        <w:tab/>
        <w:t xml:space="preserve">The main groups requiring representation are head teachers (both maintained and academy schools), </w:t>
      </w:r>
      <w:r>
        <w:t>Northampton</w:t>
      </w:r>
      <w:r w:rsidR="00AC4332" w:rsidRPr="00AC4332">
        <w:t xml:space="preserve"> college, academy trust chief executives, the early years sector, the regional schools commissioner, </w:t>
      </w:r>
      <w:r w:rsidR="00A6332E" w:rsidRPr="00A6332E">
        <w:rPr>
          <w:bCs/>
        </w:rPr>
        <w:t>the university</w:t>
      </w:r>
      <w:r w:rsidR="00AC4332" w:rsidRPr="00A6332E">
        <w:rPr>
          <w:bCs/>
        </w:rPr>
        <w:t>, independent schools</w:t>
      </w:r>
      <w:r w:rsidR="00AC4332" w:rsidRPr="00AC4332">
        <w:rPr>
          <w:b/>
          <w:bCs/>
        </w:rPr>
        <w:t xml:space="preserve"> </w:t>
      </w:r>
      <w:r w:rsidR="00AC4332" w:rsidRPr="00AC4332">
        <w:t>and a teaching schools</w:t>
      </w:r>
      <w:r>
        <w:t>’</w:t>
      </w:r>
      <w:r w:rsidR="00AC4332" w:rsidRPr="00AC4332">
        <w:t xml:space="preserve"> representative (taking account of new </w:t>
      </w:r>
      <w:r>
        <w:t>teaching schools</w:t>
      </w:r>
      <w:r w:rsidR="00AC4332" w:rsidRPr="00AC4332">
        <w:t xml:space="preserve"> arrangements to be announced by the government).</w:t>
      </w:r>
    </w:p>
    <w:p w14:paraId="43E3E3C2" w14:textId="77777777" w:rsidR="00AC4332" w:rsidRPr="00AC4332" w:rsidRDefault="00A9664E" w:rsidP="00AC4332">
      <w:r>
        <w:t>3</w:t>
      </w:r>
      <w:r w:rsidR="00AC4332" w:rsidRPr="00AC4332">
        <w:t>.2</w:t>
      </w:r>
      <w:r w:rsidR="00AC4332" w:rsidRPr="00AC4332">
        <w:tab/>
        <w:t xml:space="preserve">The LA, as the middle tier organisation with the majority of powers and duties relating to maintained schools and academies, should be responsible for the management and administration of the group.  This includes the chairing of </w:t>
      </w:r>
      <w:r w:rsidR="00A6332E">
        <w:t>meetings</w:t>
      </w:r>
      <w:r w:rsidR="00AC4332" w:rsidRPr="00AC4332">
        <w:t>, compiling and circulating meeting agendas, taking and distributing meeting notes and ensuring actions are followed up.</w:t>
      </w:r>
    </w:p>
    <w:p w14:paraId="18A56318" w14:textId="77777777" w:rsidR="00AC4332" w:rsidRPr="00AC4332" w:rsidRDefault="00A9664E" w:rsidP="00AC4332">
      <w:pPr>
        <w:spacing w:after="60"/>
      </w:pPr>
      <w:r>
        <w:t>3</w:t>
      </w:r>
      <w:r w:rsidR="00AC4332" w:rsidRPr="00AC4332">
        <w:t>.3</w:t>
      </w:r>
      <w:r w:rsidR="00AC4332" w:rsidRPr="00AC4332">
        <w:tab/>
        <w:t>The LA should be represented by a single senior officer – the group chair, the statutory DCS, with the assistant directo</w:t>
      </w:r>
      <w:r w:rsidR="00A6332E">
        <w:t>r for</w:t>
      </w:r>
      <w:r w:rsidR="00AC4332" w:rsidRPr="00AC4332">
        <w:t xml:space="preserve"> education the deputising officer.   The lead member should have the right to attend, and the following LA officers should be available to attend meetings where required:</w:t>
      </w:r>
    </w:p>
    <w:p w14:paraId="1BD74C7D" w14:textId="77777777" w:rsidR="00AC4332" w:rsidRPr="00AC4332" w:rsidRDefault="00A6332E" w:rsidP="00AC4332">
      <w:pPr>
        <w:numPr>
          <w:ilvl w:val="0"/>
          <w:numId w:val="15"/>
        </w:numPr>
        <w:spacing w:after="100" w:line="252" w:lineRule="auto"/>
        <w:ind w:left="425" w:hanging="425"/>
      </w:pPr>
      <w:r>
        <w:t>the assistant director of</w:t>
      </w:r>
      <w:r w:rsidR="00AC4332" w:rsidRPr="00AC4332">
        <w:t xml:space="preserve"> </w:t>
      </w:r>
      <w:proofErr w:type="gramStart"/>
      <w:r w:rsidR="00AC4332" w:rsidRPr="00AC4332">
        <w:t>education;</w:t>
      </w:r>
      <w:proofErr w:type="gramEnd"/>
      <w:r w:rsidR="00AC4332" w:rsidRPr="00AC4332">
        <w:t xml:space="preserve"> </w:t>
      </w:r>
    </w:p>
    <w:p w14:paraId="2D9E16CD" w14:textId="77777777" w:rsidR="00AC4332" w:rsidRPr="00AC4332" w:rsidRDefault="00AC4332" w:rsidP="00AC4332">
      <w:pPr>
        <w:numPr>
          <w:ilvl w:val="0"/>
          <w:numId w:val="15"/>
        </w:numPr>
        <w:spacing w:after="100" w:line="252" w:lineRule="auto"/>
        <w:ind w:left="425" w:hanging="425"/>
      </w:pPr>
      <w:r w:rsidRPr="00AC4332">
        <w:t xml:space="preserve">the head of school </w:t>
      </w:r>
      <w:proofErr w:type="gramStart"/>
      <w:r w:rsidRPr="00AC4332">
        <w:t>effectiveness;</w:t>
      </w:r>
      <w:proofErr w:type="gramEnd"/>
    </w:p>
    <w:p w14:paraId="24DD8393" w14:textId="77777777" w:rsidR="00AC4332" w:rsidRPr="00AC4332" w:rsidRDefault="00AC4332" w:rsidP="00AC4332">
      <w:pPr>
        <w:numPr>
          <w:ilvl w:val="0"/>
          <w:numId w:val="15"/>
        </w:numPr>
        <w:spacing w:after="100" w:line="252" w:lineRule="auto"/>
        <w:ind w:left="425" w:hanging="425"/>
      </w:pPr>
      <w:r w:rsidRPr="00AC4332">
        <w:t xml:space="preserve">the head of </w:t>
      </w:r>
      <w:proofErr w:type="gramStart"/>
      <w:r w:rsidR="00A9664E">
        <w:t>SEN</w:t>
      </w:r>
      <w:r w:rsidRPr="00AC4332">
        <w:t>;</w:t>
      </w:r>
      <w:proofErr w:type="gramEnd"/>
    </w:p>
    <w:p w14:paraId="610D74B8" w14:textId="77777777" w:rsidR="00AC4332" w:rsidRPr="00AC4332" w:rsidRDefault="00AC4332" w:rsidP="00AC4332">
      <w:pPr>
        <w:numPr>
          <w:ilvl w:val="0"/>
          <w:numId w:val="15"/>
        </w:numPr>
        <w:spacing w:after="100" w:line="252" w:lineRule="auto"/>
        <w:ind w:left="425" w:hanging="425"/>
      </w:pPr>
      <w:r w:rsidRPr="00AC4332">
        <w:t xml:space="preserve">the head of </w:t>
      </w:r>
      <w:r w:rsidR="00A9664E">
        <w:t xml:space="preserve">pupil place planning and </w:t>
      </w:r>
      <w:proofErr w:type="gramStart"/>
      <w:r w:rsidR="00A9664E">
        <w:t>admissions</w:t>
      </w:r>
      <w:r w:rsidRPr="00AC4332">
        <w:t>;</w:t>
      </w:r>
      <w:proofErr w:type="gramEnd"/>
    </w:p>
    <w:p w14:paraId="5C439A46" w14:textId="77777777" w:rsidR="00AC4332" w:rsidRPr="00AC4332" w:rsidRDefault="00AC4332" w:rsidP="00AC4332">
      <w:pPr>
        <w:numPr>
          <w:ilvl w:val="0"/>
          <w:numId w:val="15"/>
        </w:numPr>
        <w:spacing w:after="100" w:line="252" w:lineRule="auto"/>
        <w:ind w:left="425" w:hanging="425"/>
      </w:pPr>
      <w:r w:rsidRPr="00AC4332">
        <w:t>the assistant director, children social care (or her / his representative)</w:t>
      </w:r>
    </w:p>
    <w:p w14:paraId="28824AB2" w14:textId="77777777" w:rsidR="00AC4332" w:rsidRPr="00AC4332" w:rsidRDefault="00AC4332" w:rsidP="00AC4332">
      <w:pPr>
        <w:numPr>
          <w:ilvl w:val="0"/>
          <w:numId w:val="15"/>
        </w:numPr>
        <w:spacing w:after="100" w:line="252" w:lineRule="auto"/>
        <w:ind w:left="425" w:hanging="425"/>
      </w:pPr>
      <w:r w:rsidRPr="00AC4332">
        <w:t xml:space="preserve">the business partners for finance and </w:t>
      </w:r>
      <w:r w:rsidR="00A6332E">
        <w:t>HR</w:t>
      </w:r>
      <w:r w:rsidRPr="00AC4332">
        <w:t>;</w:t>
      </w:r>
      <w:r w:rsidR="00A6332E">
        <w:t xml:space="preserve"> and</w:t>
      </w:r>
    </w:p>
    <w:p w14:paraId="29784B48" w14:textId="77777777" w:rsidR="00AC4332" w:rsidRPr="00AC4332" w:rsidRDefault="00AC4332" w:rsidP="00A6332E">
      <w:pPr>
        <w:numPr>
          <w:ilvl w:val="0"/>
          <w:numId w:val="15"/>
        </w:numPr>
        <w:spacing w:after="100" w:line="252" w:lineRule="auto"/>
        <w:ind w:left="425" w:hanging="425"/>
      </w:pPr>
      <w:r w:rsidRPr="00AC4332">
        <w:t>the consultant for public healt</w:t>
      </w:r>
      <w:r w:rsidR="00A6332E">
        <w:t>h</w:t>
      </w:r>
      <w:r w:rsidRPr="00AC4332">
        <w:t>.</w:t>
      </w:r>
    </w:p>
    <w:p w14:paraId="06ECE0FA" w14:textId="77777777" w:rsidR="00AC4332" w:rsidRPr="00AC4332" w:rsidRDefault="00A9664E" w:rsidP="00AC4332">
      <w:r>
        <w:t>3</w:t>
      </w:r>
      <w:r w:rsidR="00AC4332" w:rsidRPr="00AC4332">
        <w:t>.4</w:t>
      </w:r>
      <w:r w:rsidR="00AC4332" w:rsidRPr="00AC4332">
        <w:tab/>
        <w:t>There should be consideration given to representation from other local agencies that, while not being ‘middle tier’ organisations responsible for education, are relevant</w:t>
      </w:r>
      <w:r>
        <w:t xml:space="preserve"> – for example, Northamptonshire police and local NHS services</w:t>
      </w:r>
      <w:r w:rsidR="00AC4332" w:rsidRPr="00AC4332">
        <w:t>.</w:t>
      </w:r>
    </w:p>
    <w:p w14:paraId="487F85CD" w14:textId="77777777" w:rsidR="00AC4332" w:rsidRPr="00AC4332" w:rsidRDefault="00A9664E" w:rsidP="00AC4332">
      <w:r>
        <w:t>3</w:t>
      </w:r>
      <w:r w:rsidR="00AC4332" w:rsidRPr="00AC4332">
        <w:t>.5</w:t>
      </w:r>
      <w:r w:rsidR="00AC4332" w:rsidRPr="00AC4332">
        <w:tab/>
        <w:t>The table below sets out the proposed constitution for discussion.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64"/>
      </w:tblGrid>
      <w:tr w:rsidR="00AC4332" w:rsidRPr="00AC4332" w14:paraId="2B7782EC" w14:textId="77777777" w:rsidTr="000D318F">
        <w:tc>
          <w:tcPr>
            <w:tcW w:w="8359" w:type="dxa"/>
            <w:tcBorders>
              <w:bottom w:val="single" w:sz="4" w:space="0" w:color="auto"/>
            </w:tcBorders>
          </w:tcPr>
          <w:p w14:paraId="5F3CDF0A" w14:textId="77777777" w:rsidR="00AC4332" w:rsidRPr="00AC4332" w:rsidRDefault="00AC4332" w:rsidP="00AC4332">
            <w:pPr>
              <w:spacing w:before="60" w:after="60" w:line="240" w:lineRule="auto"/>
              <w:jc w:val="center"/>
              <w:rPr>
                <w:b/>
              </w:rPr>
            </w:pPr>
            <w:r w:rsidRPr="00AC4332">
              <w:rPr>
                <w:b/>
              </w:rPr>
              <w:t>Body and rationale</w:t>
            </w:r>
          </w:p>
        </w:tc>
        <w:tc>
          <w:tcPr>
            <w:tcW w:w="964" w:type="dxa"/>
            <w:tcBorders>
              <w:bottom w:val="single" w:sz="4" w:space="0" w:color="auto"/>
            </w:tcBorders>
          </w:tcPr>
          <w:p w14:paraId="3D456D1B" w14:textId="77777777" w:rsidR="00AC4332" w:rsidRPr="00AC4332" w:rsidRDefault="00AC4332" w:rsidP="00AC4332">
            <w:pPr>
              <w:spacing w:before="60" w:after="60" w:line="240" w:lineRule="auto"/>
              <w:jc w:val="center"/>
              <w:rPr>
                <w:b/>
              </w:rPr>
            </w:pPr>
            <w:r w:rsidRPr="00AC4332">
              <w:rPr>
                <w:b/>
              </w:rPr>
              <w:t>no</w:t>
            </w:r>
          </w:p>
        </w:tc>
      </w:tr>
      <w:tr w:rsidR="00AC4332" w:rsidRPr="00AC4332" w14:paraId="71444066" w14:textId="77777777" w:rsidTr="00AC4332">
        <w:tc>
          <w:tcPr>
            <w:tcW w:w="8359" w:type="dxa"/>
            <w:tcBorders>
              <w:top w:val="single" w:sz="4" w:space="0" w:color="auto"/>
            </w:tcBorders>
            <w:shd w:val="clear" w:color="auto" w:fill="EAF1DD" w:themeFill="accent3" w:themeFillTint="33"/>
          </w:tcPr>
          <w:p w14:paraId="22E6509B" w14:textId="77777777" w:rsidR="00AC4332" w:rsidRPr="00AC4332" w:rsidRDefault="00AC4332" w:rsidP="00A6332E">
            <w:pPr>
              <w:spacing w:before="60" w:after="60" w:line="240" w:lineRule="auto"/>
            </w:pPr>
            <w:r w:rsidRPr="00AC4332">
              <w:t>Group chair (</w:t>
            </w:r>
            <w:r w:rsidR="00A6332E">
              <w:t xml:space="preserve">the </w:t>
            </w:r>
            <w:r>
              <w:t>DCS</w:t>
            </w:r>
            <w:r w:rsidRPr="00AC4332">
              <w:t>) and lead member</w:t>
            </w:r>
          </w:p>
        </w:tc>
        <w:tc>
          <w:tcPr>
            <w:tcW w:w="964" w:type="dxa"/>
            <w:tcBorders>
              <w:top w:val="single" w:sz="4" w:space="0" w:color="auto"/>
            </w:tcBorders>
            <w:shd w:val="clear" w:color="auto" w:fill="EAF1DD" w:themeFill="accent3" w:themeFillTint="33"/>
          </w:tcPr>
          <w:p w14:paraId="78AF1EF9" w14:textId="77777777" w:rsidR="00AC4332" w:rsidRPr="00AC4332" w:rsidRDefault="00AC4332" w:rsidP="00AC4332">
            <w:pPr>
              <w:spacing w:before="60" w:after="60" w:line="240" w:lineRule="auto"/>
              <w:jc w:val="center"/>
            </w:pPr>
            <w:r w:rsidRPr="00AC4332">
              <w:t>2</w:t>
            </w:r>
          </w:p>
        </w:tc>
      </w:tr>
      <w:tr w:rsidR="00AC4332" w:rsidRPr="00AC4332" w14:paraId="6B8B5905" w14:textId="77777777" w:rsidTr="000D318F">
        <w:tc>
          <w:tcPr>
            <w:tcW w:w="8359" w:type="dxa"/>
          </w:tcPr>
          <w:p w14:paraId="62677254" w14:textId="77777777" w:rsidR="00AC4332" w:rsidRPr="00AC4332" w:rsidRDefault="00AC4332" w:rsidP="00A6332E">
            <w:pPr>
              <w:spacing w:before="60" w:after="60" w:line="240" w:lineRule="auto"/>
            </w:pPr>
            <w:r w:rsidRPr="00AC4332">
              <w:t xml:space="preserve">primary </w:t>
            </w:r>
            <w:r w:rsidR="00A6332E">
              <w:t>maintained and academy head teachers and governors</w:t>
            </w:r>
          </w:p>
        </w:tc>
        <w:tc>
          <w:tcPr>
            <w:tcW w:w="964" w:type="dxa"/>
          </w:tcPr>
          <w:p w14:paraId="3599E24C" w14:textId="77777777" w:rsidR="00AC4332" w:rsidRPr="00AC4332" w:rsidRDefault="00A6332E" w:rsidP="00AC4332">
            <w:pPr>
              <w:spacing w:before="60" w:after="60" w:line="240" w:lineRule="auto"/>
              <w:jc w:val="center"/>
            </w:pPr>
            <w:r>
              <w:t>4</w:t>
            </w:r>
          </w:p>
        </w:tc>
      </w:tr>
      <w:tr w:rsidR="00AC4332" w:rsidRPr="00AC4332" w14:paraId="09463CFB" w14:textId="77777777" w:rsidTr="00AC4332">
        <w:tc>
          <w:tcPr>
            <w:tcW w:w="8359" w:type="dxa"/>
            <w:shd w:val="clear" w:color="auto" w:fill="EAF1DD" w:themeFill="accent3" w:themeFillTint="33"/>
          </w:tcPr>
          <w:p w14:paraId="5BE305BB" w14:textId="77777777" w:rsidR="00AC4332" w:rsidRPr="00A6332E" w:rsidRDefault="00A6332E" w:rsidP="00A6332E">
            <w:pPr>
              <w:spacing w:before="60" w:after="60" w:line="240" w:lineRule="auto"/>
            </w:pPr>
            <w:r>
              <w:t>Secondary</w:t>
            </w:r>
            <w:r w:rsidR="00AC4332" w:rsidRPr="00A6332E">
              <w:t xml:space="preserve"> academy head teacher</w:t>
            </w:r>
            <w:r>
              <w:t xml:space="preserve"> and governor</w:t>
            </w:r>
          </w:p>
        </w:tc>
        <w:tc>
          <w:tcPr>
            <w:tcW w:w="964" w:type="dxa"/>
            <w:shd w:val="clear" w:color="auto" w:fill="EAF1DD" w:themeFill="accent3" w:themeFillTint="33"/>
          </w:tcPr>
          <w:p w14:paraId="2F5FCCF2" w14:textId="77777777" w:rsidR="00AC4332" w:rsidRPr="00A6332E" w:rsidRDefault="00A6332E" w:rsidP="00AC4332">
            <w:pPr>
              <w:spacing w:before="60" w:after="60" w:line="240" w:lineRule="auto"/>
              <w:jc w:val="center"/>
            </w:pPr>
            <w:r>
              <w:t>2</w:t>
            </w:r>
          </w:p>
        </w:tc>
      </w:tr>
      <w:tr w:rsidR="00AC4332" w:rsidRPr="00AC4332" w14:paraId="158F9D17" w14:textId="77777777" w:rsidTr="000D318F">
        <w:tc>
          <w:tcPr>
            <w:tcW w:w="8359" w:type="dxa"/>
          </w:tcPr>
          <w:p w14:paraId="669E0D39" w14:textId="77777777" w:rsidR="00AC4332" w:rsidRPr="00AC4332" w:rsidRDefault="00AC4332" w:rsidP="00AC4332">
            <w:pPr>
              <w:spacing w:before="60" w:after="60" w:line="240" w:lineRule="auto"/>
            </w:pPr>
            <w:r w:rsidRPr="00AC4332">
              <w:t>Special school head teachers</w:t>
            </w:r>
          </w:p>
        </w:tc>
        <w:tc>
          <w:tcPr>
            <w:tcW w:w="964" w:type="dxa"/>
          </w:tcPr>
          <w:p w14:paraId="586E2BB5" w14:textId="77777777" w:rsidR="00AC4332" w:rsidRPr="00AC4332" w:rsidRDefault="00AC4332" w:rsidP="00AC4332">
            <w:pPr>
              <w:spacing w:before="60" w:after="60" w:line="240" w:lineRule="auto"/>
              <w:jc w:val="center"/>
            </w:pPr>
            <w:r w:rsidRPr="00AC4332">
              <w:t>1</w:t>
            </w:r>
          </w:p>
        </w:tc>
      </w:tr>
      <w:tr w:rsidR="00AC4332" w:rsidRPr="00AC4332" w14:paraId="1C5CC2BD" w14:textId="77777777" w:rsidTr="00AC4332">
        <w:tc>
          <w:tcPr>
            <w:tcW w:w="8359" w:type="dxa"/>
            <w:shd w:val="clear" w:color="auto" w:fill="EAF1DD" w:themeFill="accent3" w:themeFillTint="33"/>
          </w:tcPr>
          <w:p w14:paraId="418A4922" w14:textId="77777777" w:rsidR="00AC4332" w:rsidRPr="00AC4332" w:rsidRDefault="00AC4332" w:rsidP="00AC4332">
            <w:pPr>
              <w:spacing w:before="60" w:after="60" w:line="240" w:lineRule="auto"/>
            </w:pPr>
            <w:r w:rsidRPr="00AC4332">
              <w:t>Alternative provision head teachers</w:t>
            </w:r>
          </w:p>
        </w:tc>
        <w:tc>
          <w:tcPr>
            <w:tcW w:w="964" w:type="dxa"/>
            <w:shd w:val="clear" w:color="auto" w:fill="EAF1DD" w:themeFill="accent3" w:themeFillTint="33"/>
          </w:tcPr>
          <w:p w14:paraId="712465A8" w14:textId="77777777" w:rsidR="00AC4332" w:rsidRPr="00AC4332" w:rsidRDefault="00AC4332" w:rsidP="00AC4332">
            <w:pPr>
              <w:spacing w:before="60" w:after="60" w:line="240" w:lineRule="auto"/>
              <w:jc w:val="center"/>
            </w:pPr>
            <w:r w:rsidRPr="00AC4332">
              <w:t>1</w:t>
            </w:r>
          </w:p>
        </w:tc>
      </w:tr>
      <w:tr w:rsidR="00AC4332" w:rsidRPr="00AC4332" w14:paraId="32A9785C" w14:textId="77777777" w:rsidTr="000D318F">
        <w:tc>
          <w:tcPr>
            <w:tcW w:w="8359" w:type="dxa"/>
            <w:shd w:val="clear" w:color="auto" w:fill="FFFFFF" w:themeFill="background1"/>
          </w:tcPr>
          <w:p w14:paraId="2DA784EF" w14:textId="16403C07" w:rsidR="00AC4332" w:rsidRPr="00AC4332" w:rsidRDefault="00D04667" w:rsidP="00AC4332">
            <w:pPr>
              <w:spacing w:before="60" w:after="60" w:line="240" w:lineRule="auto"/>
            </w:pPr>
            <w:r>
              <w:t>FE</w:t>
            </w:r>
            <w:r w:rsidR="00AC4332">
              <w:t xml:space="preserve"> </w:t>
            </w:r>
            <w:r w:rsidR="00AC4332" w:rsidRPr="00AC4332">
              <w:t>college</w:t>
            </w:r>
            <w:r>
              <w:t>s</w:t>
            </w:r>
          </w:p>
        </w:tc>
        <w:tc>
          <w:tcPr>
            <w:tcW w:w="964" w:type="dxa"/>
            <w:shd w:val="clear" w:color="auto" w:fill="FFFFFF" w:themeFill="background1"/>
          </w:tcPr>
          <w:p w14:paraId="0EA3881D" w14:textId="77777777" w:rsidR="00AC4332" w:rsidRPr="00AC4332" w:rsidRDefault="00AC4332" w:rsidP="00AC4332">
            <w:pPr>
              <w:spacing w:before="60" w:after="60" w:line="240" w:lineRule="auto"/>
              <w:jc w:val="center"/>
            </w:pPr>
            <w:r w:rsidRPr="00AC4332">
              <w:t>1</w:t>
            </w:r>
          </w:p>
        </w:tc>
      </w:tr>
      <w:tr w:rsidR="00AC4332" w:rsidRPr="00AC4332" w14:paraId="37E2036C" w14:textId="77777777" w:rsidTr="00AC4332">
        <w:tc>
          <w:tcPr>
            <w:tcW w:w="8359" w:type="dxa"/>
            <w:shd w:val="clear" w:color="auto" w:fill="EAF1DD" w:themeFill="accent3" w:themeFillTint="33"/>
          </w:tcPr>
          <w:p w14:paraId="2A7B2143" w14:textId="77777777" w:rsidR="00AC4332" w:rsidRPr="00AC4332" w:rsidRDefault="00AC4332" w:rsidP="00AC4332">
            <w:pPr>
              <w:spacing w:before="60" w:after="60" w:line="240" w:lineRule="auto"/>
            </w:pPr>
            <w:r w:rsidRPr="00AC4332">
              <w:t>Diocesan representatives</w:t>
            </w:r>
            <w:r>
              <w:t xml:space="preserve"> (Church of England and Roman Catholic)</w:t>
            </w:r>
          </w:p>
        </w:tc>
        <w:tc>
          <w:tcPr>
            <w:tcW w:w="964" w:type="dxa"/>
            <w:shd w:val="clear" w:color="auto" w:fill="EAF1DD" w:themeFill="accent3" w:themeFillTint="33"/>
          </w:tcPr>
          <w:p w14:paraId="50B7D7E3" w14:textId="77777777" w:rsidR="00AC4332" w:rsidRPr="00AC4332" w:rsidRDefault="00AC4332" w:rsidP="00AC4332">
            <w:pPr>
              <w:spacing w:before="60" w:after="60" w:line="240" w:lineRule="auto"/>
              <w:jc w:val="center"/>
            </w:pPr>
            <w:r w:rsidRPr="00AC4332">
              <w:t>2</w:t>
            </w:r>
          </w:p>
        </w:tc>
      </w:tr>
      <w:tr w:rsidR="00AC4332" w:rsidRPr="00AC4332" w14:paraId="58E4557F" w14:textId="77777777" w:rsidTr="000D318F">
        <w:tc>
          <w:tcPr>
            <w:tcW w:w="8359" w:type="dxa"/>
            <w:shd w:val="clear" w:color="auto" w:fill="FFFFFF" w:themeFill="background1"/>
          </w:tcPr>
          <w:p w14:paraId="74AA058C" w14:textId="77777777" w:rsidR="00AC4332" w:rsidRPr="00AC4332" w:rsidRDefault="00AC4332" w:rsidP="00AC4332">
            <w:pPr>
              <w:spacing w:before="60" w:after="60" w:line="240" w:lineRule="auto"/>
              <w:rPr>
                <w:bCs/>
              </w:rPr>
            </w:pPr>
            <w:r w:rsidRPr="00AC4332">
              <w:rPr>
                <w:bCs/>
              </w:rPr>
              <w:t>Trust chief executives (primary, secondary and special sectors)</w:t>
            </w:r>
          </w:p>
        </w:tc>
        <w:tc>
          <w:tcPr>
            <w:tcW w:w="964" w:type="dxa"/>
            <w:shd w:val="clear" w:color="auto" w:fill="FFFFFF" w:themeFill="background1"/>
          </w:tcPr>
          <w:p w14:paraId="39A3B85B" w14:textId="77777777" w:rsidR="00AC4332" w:rsidRPr="00AC4332" w:rsidRDefault="00AC4332" w:rsidP="00AC4332">
            <w:pPr>
              <w:spacing w:before="60" w:after="60" w:line="240" w:lineRule="auto"/>
              <w:jc w:val="center"/>
              <w:rPr>
                <w:bCs/>
              </w:rPr>
            </w:pPr>
            <w:r w:rsidRPr="00AC4332">
              <w:rPr>
                <w:bCs/>
              </w:rPr>
              <w:t>3</w:t>
            </w:r>
          </w:p>
        </w:tc>
      </w:tr>
      <w:tr w:rsidR="00AC4332" w:rsidRPr="00AC4332" w14:paraId="50EB15B7" w14:textId="77777777" w:rsidTr="00AC4332">
        <w:trPr>
          <w:trHeight w:val="311"/>
        </w:trPr>
        <w:tc>
          <w:tcPr>
            <w:tcW w:w="8359" w:type="dxa"/>
            <w:shd w:val="clear" w:color="auto" w:fill="EAF1DD" w:themeFill="accent3" w:themeFillTint="33"/>
          </w:tcPr>
          <w:p w14:paraId="4AB0CC31" w14:textId="77777777" w:rsidR="00AC4332" w:rsidRPr="00AC4332" w:rsidRDefault="00AC4332" w:rsidP="00AC4332">
            <w:pPr>
              <w:spacing w:before="60" w:after="60" w:line="240" w:lineRule="auto"/>
            </w:pPr>
            <w:r w:rsidRPr="00AC4332">
              <w:t xml:space="preserve">The office of the </w:t>
            </w:r>
            <w:r>
              <w:t xml:space="preserve">east Midlands </w:t>
            </w:r>
            <w:r w:rsidRPr="00AC4332">
              <w:t>RSC (representative to be appointed by the RSC)</w:t>
            </w:r>
          </w:p>
        </w:tc>
        <w:tc>
          <w:tcPr>
            <w:tcW w:w="964" w:type="dxa"/>
            <w:shd w:val="clear" w:color="auto" w:fill="EAF1DD" w:themeFill="accent3" w:themeFillTint="33"/>
          </w:tcPr>
          <w:p w14:paraId="7B965295" w14:textId="77777777" w:rsidR="00AC4332" w:rsidRPr="00AC4332" w:rsidRDefault="00AC4332" w:rsidP="00AC4332">
            <w:pPr>
              <w:spacing w:before="60" w:after="60" w:line="240" w:lineRule="auto"/>
              <w:jc w:val="center"/>
            </w:pPr>
            <w:r w:rsidRPr="00AC4332">
              <w:t>1</w:t>
            </w:r>
          </w:p>
        </w:tc>
      </w:tr>
      <w:tr w:rsidR="00AC4332" w:rsidRPr="00AC4332" w14:paraId="1B3E33F2" w14:textId="77777777" w:rsidTr="000D318F">
        <w:tc>
          <w:tcPr>
            <w:tcW w:w="8359" w:type="dxa"/>
            <w:shd w:val="clear" w:color="auto" w:fill="FFFFFF" w:themeFill="background1"/>
          </w:tcPr>
          <w:p w14:paraId="65ACE36C" w14:textId="77777777" w:rsidR="00AC4332" w:rsidRPr="00AC4332" w:rsidRDefault="00AC4332" w:rsidP="00AC4332">
            <w:pPr>
              <w:spacing w:before="60" w:after="60" w:line="240" w:lineRule="auto"/>
            </w:pPr>
            <w:r w:rsidRPr="00AC4332">
              <w:t xml:space="preserve">Teaching schools </w:t>
            </w:r>
            <w:r>
              <w:t>in West Northants</w:t>
            </w:r>
          </w:p>
        </w:tc>
        <w:tc>
          <w:tcPr>
            <w:tcW w:w="964" w:type="dxa"/>
            <w:shd w:val="clear" w:color="auto" w:fill="FFFFFF" w:themeFill="background1"/>
          </w:tcPr>
          <w:p w14:paraId="349D8D30" w14:textId="77777777" w:rsidR="00AC4332" w:rsidRPr="00AC4332" w:rsidRDefault="00AC4332" w:rsidP="00AC4332">
            <w:pPr>
              <w:spacing w:before="60" w:after="60" w:line="240" w:lineRule="auto"/>
              <w:jc w:val="center"/>
            </w:pPr>
            <w:r w:rsidRPr="00AC4332">
              <w:t>1</w:t>
            </w:r>
          </w:p>
        </w:tc>
      </w:tr>
      <w:tr w:rsidR="00AC4332" w:rsidRPr="00AC4332" w14:paraId="4F44BCC8" w14:textId="77777777" w:rsidTr="00AC4332">
        <w:tc>
          <w:tcPr>
            <w:tcW w:w="8359" w:type="dxa"/>
            <w:shd w:val="clear" w:color="auto" w:fill="EAF1DD" w:themeFill="accent3" w:themeFillTint="33"/>
          </w:tcPr>
          <w:p w14:paraId="3C5B85A9" w14:textId="77777777" w:rsidR="00AC4332" w:rsidRPr="00AC4332" w:rsidRDefault="00AC4332" w:rsidP="00AC4332">
            <w:pPr>
              <w:spacing w:before="60" w:after="60" w:line="240" w:lineRule="auto"/>
            </w:pPr>
            <w:r w:rsidRPr="00AC4332">
              <w:t>Schools forum representative</w:t>
            </w:r>
          </w:p>
        </w:tc>
        <w:tc>
          <w:tcPr>
            <w:tcW w:w="964" w:type="dxa"/>
            <w:shd w:val="clear" w:color="auto" w:fill="EAF1DD" w:themeFill="accent3" w:themeFillTint="33"/>
          </w:tcPr>
          <w:p w14:paraId="1E236775" w14:textId="77777777" w:rsidR="00AC4332" w:rsidRPr="00AC4332" w:rsidRDefault="00AC4332" w:rsidP="00AC4332">
            <w:pPr>
              <w:spacing w:before="60" w:after="60" w:line="240" w:lineRule="auto"/>
              <w:jc w:val="center"/>
            </w:pPr>
            <w:r w:rsidRPr="00AC4332">
              <w:t>1</w:t>
            </w:r>
          </w:p>
        </w:tc>
      </w:tr>
      <w:tr w:rsidR="00AC4332" w:rsidRPr="00AC4332" w14:paraId="2998C182" w14:textId="77777777" w:rsidTr="000D318F">
        <w:tc>
          <w:tcPr>
            <w:tcW w:w="8359" w:type="dxa"/>
            <w:shd w:val="clear" w:color="auto" w:fill="FFFFFF" w:themeFill="background1"/>
          </w:tcPr>
          <w:p w14:paraId="1B0B3739" w14:textId="0AB83541" w:rsidR="00AC4332" w:rsidRPr="00AC4332" w:rsidRDefault="00AC4332" w:rsidP="00AC4332">
            <w:pPr>
              <w:spacing w:before="60" w:after="60" w:line="240" w:lineRule="auto"/>
              <w:rPr>
                <w:bCs/>
              </w:rPr>
            </w:pPr>
            <w:r w:rsidRPr="00AC4332">
              <w:rPr>
                <w:bCs/>
              </w:rPr>
              <w:t>Universit</w:t>
            </w:r>
            <w:r w:rsidR="00AC0C74">
              <w:rPr>
                <w:bCs/>
              </w:rPr>
              <w:t>ies</w:t>
            </w:r>
          </w:p>
        </w:tc>
        <w:tc>
          <w:tcPr>
            <w:tcW w:w="964" w:type="dxa"/>
            <w:shd w:val="clear" w:color="auto" w:fill="FFFFFF" w:themeFill="background1"/>
          </w:tcPr>
          <w:p w14:paraId="18525522" w14:textId="77777777" w:rsidR="00AC4332" w:rsidRPr="00AC4332" w:rsidRDefault="00AC4332" w:rsidP="00AC4332">
            <w:pPr>
              <w:spacing w:before="60" w:after="60" w:line="240" w:lineRule="auto"/>
              <w:jc w:val="center"/>
              <w:rPr>
                <w:bCs/>
              </w:rPr>
            </w:pPr>
            <w:r w:rsidRPr="00AC4332">
              <w:rPr>
                <w:bCs/>
              </w:rPr>
              <w:t>1</w:t>
            </w:r>
          </w:p>
        </w:tc>
      </w:tr>
      <w:tr w:rsidR="00AC4332" w:rsidRPr="00AC4332" w14:paraId="5E30B3B4" w14:textId="77777777" w:rsidTr="00AC4332">
        <w:tc>
          <w:tcPr>
            <w:tcW w:w="8359" w:type="dxa"/>
            <w:tcBorders>
              <w:bottom w:val="single" w:sz="8" w:space="0" w:color="auto"/>
            </w:tcBorders>
            <w:shd w:val="clear" w:color="auto" w:fill="EAF1DD" w:themeFill="accent3" w:themeFillTint="33"/>
          </w:tcPr>
          <w:p w14:paraId="64446EFE" w14:textId="77777777" w:rsidR="00AC4332" w:rsidRPr="00AC4332" w:rsidRDefault="00AC4332" w:rsidP="00AC4332">
            <w:pPr>
              <w:spacing w:before="60" w:after="60" w:line="240" w:lineRule="auto"/>
              <w:rPr>
                <w:bCs/>
              </w:rPr>
            </w:pPr>
            <w:r w:rsidRPr="00AC4332">
              <w:rPr>
                <w:bCs/>
              </w:rPr>
              <w:t xml:space="preserve">West Northants independent schools </w:t>
            </w:r>
          </w:p>
        </w:tc>
        <w:tc>
          <w:tcPr>
            <w:tcW w:w="964" w:type="dxa"/>
            <w:tcBorders>
              <w:bottom w:val="single" w:sz="8" w:space="0" w:color="auto"/>
            </w:tcBorders>
            <w:shd w:val="clear" w:color="auto" w:fill="EAF1DD" w:themeFill="accent3" w:themeFillTint="33"/>
          </w:tcPr>
          <w:p w14:paraId="3062ED27" w14:textId="77777777" w:rsidR="00AC4332" w:rsidRPr="00AC4332" w:rsidRDefault="00A9664E" w:rsidP="00AC4332">
            <w:pPr>
              <w:spacing w:before="60" w:after="60" w:line="240" w:lineRule="auto"/>
              <w:jc w:val="center"/>
              <w:rPr>
                <w:bCs/>
              </w:rPr>
            </w:pPr>
            <w:r>
              <w:rPr>
                <w:bCs/>
              </w:rPr>
              <w:t>1</w:t>
            </w:r>
          </w:p>
        </w:tc>
      </w:tr>
    </w:tbl>
    <w:p w14:paraId="0D6AE59F" w14:textId="77777777" w:rsidR="00AC4332" w:rsidRPr="00A6332E" w:rsidRDefault="00A9664E" w:rsidP="00A6332E">
      <w:pPr>
        <w:spacing w:before="180"/>
        <w:rPr>
          <w:bCs/>
        </w:rPr>
      </w:pPr>
      <w:r>
        <w:t>3</w:t>
      </w:r>
      <w:r w:rsidR="00AC4332" w:rsidRPr="00AC4332">
        <w:t>.6</w:t>
      </w:r>
      <w:r w:rsidR="00AC4332" w:rsidRPr="00AC4332">
        <w:tab/>
      </w:r>
      <w:r w:rsidRPr="00A6332E">
        <w:rPr>
          <w:bCs/>
        </w:rPr>
        <w:t>W</w:t>
      </w:r>
      <w:r w:rsidR="00AC4332" w:rsidRPr="00A6332E">
        <w:rPr>
          <w:bCs/>
        </w:rPr>
        <w:t>hile the formal board should be constituted as above (2</w:t>
      </w:r>
      <w:r w:rsidR="00A6332E">
        <w:rPr>
          <w:bCs/>
        </w:rPr>
        <w:t>1</w:t>
      </w:r>
      <w:r w:rsidR="00AC4332" w:rsidRPr="00A6332E">
        <w:rPr>
          <w:bCs/>
        </w:rPr>
        <w:t xml:space="preserve"> members), all trust chief executives and head teachers (maintained and academy) should be on the circulation list for agendas and meeting </w:t>
      </w:r>
      <w:proofErr w:type="gramStart"/>
      <w:r w:rsidR="00AC4332" w:rsidRPr="00A6332E">
        <w:rPr>
          <w:bCs/>
        </w:rPr>
        <w:t>minutes, and</w:t>
      </w:r>
      <w:proofErr w:type="gramEnd"/>
      <w:r w:rsidR="00AC4332" w:rsidRPr="00A6332E">
        <w:rPr>
          <w:bCs/>
        </w:rPr>
        <w:t xml:space="preserve"> invited to attend all meetings as observers.</w:t>
      </w:r>
    </w:p>
    <w:p w14:paraId="58F7C772" w14:textId="77777777" w:rsidR="00AC4332" w:rsidRPr="00AC4332" w:rsidRDefault="00A9664E" w:rsidP="00A6332E">
      <w:r>
        <w:t>3.7</w:t>
      </w:r>
      <w:r w:rsidR="00AC4332" w:rsidRPr="00AC4332">
        <w:tab/>
        <w:t xml:space="preserve">Meetings are proposed to be twice termly, which is a total of 12 meetings per school year.  This can be adjusted, but given the range of issues in the remit, is realistic.  </w:t>
      </w:r>
    </w:p>
    <w:p w14:paraId="34AB5394" w14:textId="77777777" w:rsidR="00AC4332" w:rsidRPr="00AC4332" w:rsidRDefault="00A9664E" w:rsidP="00A9664E">
      <w:pPr>
        <w:pStyle w:val="Heading2"/>
      </w:pPr>
      <w:r>
        <w:t>4</w:t>
      </w:r>
      <w:r w:rsidR="00AC4332" w:rsidRPr="00AC4332">
        <w:tab/>
        <w:t>Proposed group remit</w:t>
      </w:r>
    </w:p>
    <w:p w14:paraId="2BB23593" w14:textId="77777777" w:rsidR="00AC4332" w:rsidRPr="00AC4332" w:rsidRDefault="00A9664E" w:rsidP="00AC4332">
      <w:pPr>
        <w:spacing w:after="60"/>
      </w:pPr>
      <w:r>
        <w:t>4</w:t>
      </w:r>
      <w:r w:rsidR="00AC4332" w:rsidRPr="00AC4332">
        <w:t>.1</w:t>
      </w:r>
      <w:r w:rsidR="00AC4332" w:rsidRPr="00AC4332">
        <w:tab/>
        <w:t xml:space="preserve">The group remit </w:t>
      </w:r>
      <w:r>
        <w:t>should cover</w:t>
      </w:r>
      <w:r w:rsidR="00AC4332" w:rsidRPr="00AC4332">
        <w:t>:</w:t>
      </w:r>
    </w:p>
    <w:p w14:paraId="6EBE15F3" w14:textId="77777777" w:rsidR="00AC4332" w:rsidRPr="00AC4332" w:rsidRDefault="00AC4332" w:rsidP="00AC4332">
      <w:pPr>
        <w:numPr>
          <w:ilvl w:val="0"/>
          <w:numId w:val="15"/>
        </w:numPr>
        <w:spacing w:after="100" w:line="252" w:lineRule="auto"/>
        <w:ind w:left="425" w:hanging="425"/>
      </w:pPr>
      <w:r w:rsidRPr="00AC4332">
        <w:t xml:space="preserve">agreeing general priorities, and monitoring progress and achievement with </w:t>
      </w:r>
      <w:r>
        <w:t>West Northants</w:t>
      </w:r>
      <w:r w:rsidR="00A9664E">
        <w:t xml:space="preserve"> education </w:t>
      </w:r>
      <w:proofErr w:type="gramStart"/>
      <w:r w:rsidR="00A9664E">
        <w:t>providers</w:t>
      </w:r>
      <w:r w:rsidRPr="00AC4332">
        <w:t>;</w:t>
      </w:r>
      <w:proofErr w:type="gramEnd"/>
    </w:p>
    <w:p w14:paraId="0D5D0B68" w14:textId="476D4190" w:rsidR="00AC4332" w:rsidRPr="00AC4332" w:rsidRDefault="00AC4332" w:rsidP="00AC4332">
      <w:pPr>
        <w:numPr>
          <w:ilvl w:val="0"/>
          <w:numId w:val="15"/>
        </w:numPr>
        <w:spacing w:after="100" w:line="252" w:lineRule="auto"/>
        <w:ind w:left="425" w:hanging="425"/>
      </w:pPr>
      <w:r w:rsidRPr="00AC4332">
        <w:t xml:space="preserve">the </w:t>
      </w:r>
      <w:r w:rsidR="00A9664E">
        <w:t>five</w:t>
      </w:r>
      <w:r w:rsidRPr="00AC4332">
        <w:t xml:space="preserve"> broad areas listed below </w:t>
      </w:r>
      <w:r w:rsidR="009F4DAD">
        <w:t>in section 2</w:t>
      </w:r>
      <w:r w:rsidRPr="00AC4332">
        <w:t xml:space="preserve"> above – finance, accountability, access</w:t>
      </w:r>
      <w:r w:rsidR="00A6332E">
        <w:t>, p</w:t>
      </w:r>
      <w:r w:rsidRPr="00AC4332">
        <w:t>eople</w:t>
      </w:r>
      <w:r w:rsidR="00A9664E">
        <w:t xml:space="preserve"> and </w:t>
      </w:r>
      <w:proofErr w:type="gramStart"/>
      <w:r w:rsidR="00A9664E">
        <w:t>strategy</w:t>
      </w:r>
      <w:r w:rsidRPr="00AC4332">
        <w:t>;</w:t>
      </w:r>
      <w:proofErr w:type="gramEnd"/>
    </w:p>
    <w:p w14:paraId="458B5FA2" w14:textId="77777777" w:rsidR="00AC4332" w:rsidRPr="00AC4332" w:rsidRDefault="00AC4332" w:rsidP="00AC4332">
      <w:pPr>
        <w:numPr>
          <w:ilvl w:val="0"/>
          <w:numId w:val="15"/>
        </w:numPr>
        <w:spacing w:after="100" w:line="252" w:lineRule="auto"/>
        <w:ind w:left="425" w:hanging="425"/>
      </w:pPr>
      <w:r w:rsidRPr="00AC4332">
        <w:t>issues affecting children and young people generally, including health, safety and wellbeing; and</w:t>
      </w:r>
    </w:p>
    <w:p w14:paraId="0EE0B54D" w14:textId="77777777" w:rsidR="00AC4332" w:rsidRPr="00AC4332" w:rsidRDefault="00AC4332" w:rsidP="00AC4332">
      <w:pPr>
        <w:numPr>
          <w:ilvl w:val="0"/>
          <w:numId w:val="15"/>
        </w:numPr>
        <w:spacing w:after="160" w:line="252" w:lineRule="auto"/>
        <w:ind w:left="425" w:hanging="425"/>
      </w:pPr>
      <w:r w:rsidRPr="00AC4332">
        <w:t xml:space="preserve">Inclusion, transition and NEETS.  </w:t>
      </w:r>
    </w:p>
    <w:p w14:paraId="5D981094" w14:textId="77777777" w:rsidR="00AC4332" w:rsidRPr="00AC4332" w:rsidRDefault="00A9664E" w:rsidP="00AC4332">
      <w:pPr>
        <w:spacing w:after="60"/>
      </w:pPr>
      <w:r>
        <w:t>4</w:t>
      </w:r>
      <w:r w:rsidR="00AC4332" w:rsidRPr="00AC4332">
        <w:t>.2</w:t>
      </w:r>
      <w:r w:rsidR="00AC4332" w:rsidRPr="00AC4332">
        <w:tab/>
        <w:t>In covering this broad remit, the group must consider the work of other groups.  For example:</w:t>
      </w:r>
    </w:p>
    <w:p w14:paraId="2DC0F427" w14:textId="77777777" w:rsidR="00AC4332" w:rsidRPr="00AC4332" w:rsidRDefault="00AC4332" w:rsidP="00AC4332">
      <w:pPr>
        <w:numPr>
          <w:ilvl w:val="0"/>
          <w:numId w:val="15"/>
        </w:numPr>
        <w:spacing w:after="100" w:line="252" w:lineRule="auto"/>
        <w:ind w:left="425" w:hanging="425"/>
      </w:pPr>
      <w:r w:rsidRPr="00AC4332">
        <w:t xml:space="preserve">schools forum is responsible for advising the council on the allocation of the dedicated schools grant (DSG) and while this group might make its view know to schools forum members, it has no direct role in budget allocation to schools or </w:t>
      </w:r>
      <w:proofErr w:type="gramStart"/>
      <w:r w:rsidRPr="00AC4332">
        <w:t>academies;</w:t>
      </w:r>
      <w:proofErr w:type="gramEnd"/>
    </w:p>
    <w:p w14:paraId="5E6355B5" w14:textId="45790589" w:rsidR="00AC4332" w:rsidRDefault="00AC4332" w:rsidP="00AC4332">
      <w:pPr>
        <w:numPr>
          <w:ilvl w:val="0"/>
          <w:numId w:val="15"/>
        </w:numPr>
        <w:spacing w:after="100" w:line="252" w:lineRule="auto"/>
        <w:ind w:left="425" w:hanging="425"/>
      </w:pPr>
      <w:r w:rsidRPr="00AC4332">
        <w:t xml:space="preserve">Fair access panel – which has the aim to place a young person in the most appropriate environment to support their learning and development, taking cognisance of the impact on each individual school and education in </w:t>
      </w:r>
      <w:r>
        <w:t xml:space="preserve">West </w:t>
      </w:r>
      <w:proofErr w:type="gramStart"/>
      <w:r>
        <w:t>Northants</w:t>
      </w:r>
      <w:r w:rsidR="00A9664E">
        <w:t>;</w:t>
      </w:r>
      <w:proofErr w:type="gramEnd"/>
    </w:p>
    <w:p w14:paraId="4ED6298B" w14:textId="77777777" w:rsidR="009F4DAD" w:rsidRDefault="009F4DAD" w:rsidP="00AC4332">
      <w:pPr>
        <w:numPr>
          <w:ilvl w:val="0"/>
          <w:numId w:val="15"/>
        </w:numPr>
        <w:spacing w:after="100" w:line="252" w:lineRule="auto"/>
        <w:ind w:left="425" w:hanging="425"/>
      </w:pPr>
    </w:p>
    <w:p w14:paraId="44B6E6E2" w14:textId="77777777" w:rsidR="00AC4332" w:rsidRPr="00AC4332" w:rsidRDefault="00A9664E" w:rsidP="00AC4332">
      <w:pPr>
        <w:spacing w:after="60"/>
      </w:pPr>
      <w:r>
        <w:t>4</w:t>
      </w:r>
      <w:r w:rsidR="00AC4332" w:rsidRPr="00AC4332">
        <w:t>.3</w:t>
      </w:r>
      <w:r w:rsidR="00AC4332" w:rsidRPr="00AC4332">
        <w:tab/>
        <w:t>Meetings will be:</w:t>
      </w:r>
    </w:p>
    <w:p w14:paraId="37C438D4" w14:textId="7085BFBF" w:rsidR="00AC4332" w:rsidRPr="00AC4332" w:rsidRDefault="00AC4332" w:rsidP="00AC4332">
      <w:pPr>
        <w:numPr>
          <w:ilvl w:val="0"/>
          <w:numId w:val="15"/>
        </w:numPr>
        <w:spacing w:after="100" w:line="252" w:lineRule="auto"/>
        <w:ind w:left="425" w:hanging="425"/>
      </w:pPr>
      <w:r w:rsidRPr="00AC4332">
        <w:t xml:space="preserve">scheduled </w:t>
      </w:r>
      <w:r w:rsidR="009F4DAD">
        <w:t>once</w:t>
      </w:r>
      <w:r w:rsidRPr="00AC4332">
        <w:t xml:space="preserve"> </w:t>
      </w:r>
      <w:proofErr w:type="gramStart"/>
      <w:r w:rsidRPr="00AC4332">
        <w:t>termly;</w:t>
      </w:r>
      <w:proofErr w:type="gramEnd"/>
    </w:p>
    <w:p w14:paraId="7DC4F6DA" w14:textId="77777777" w:rsidR="00AC4332" w:rsidRPr="00AC4332" w:rsidRDefault="00AC4332" w:rsidP="00AC4332">
      <w:pPr>
        <w:numPr>
          <w:ilvl w:val="0"/>
          <w:numId w:val="15"/>
        </w:numPr>
        <w:spacing w:after="100" w:line="252" w:lineRule="auto"/>
        <w:ind w:left="425" w:hanging="425"/>
      </w:pPr>
      <w:r w:rsidRPr="00AC4332">
        <w:t>be limited to one hour 30 minutes; and</w:t>
      </w:r>
    </w:p>
    <w:p w14:paraId="083F013C" w14:textId="77777777" w:rsidR="00AC4332" w:rsidRPr="00AC4332" w:rsidRDefault="00AC4332" w:rsidP="00AC4332">
      <w:pPr>
        <w:numPr>
          <w:ilvl w:val="0"/>
          <w:numId w:val="15"/>
        </w:numPr>
        <w:spacing w:after="160" w:line="252" w:lineRule="auto"/>
        <w:ind w:left="425" w:hanging="425"/>
      </w:pPr>
      <w:r w:rsidRPr="00AC4332">
        <w:t xml:space="preserve">clerked by the </w:t>
      </w:r>
      <w:r w:rsidR="00A9664E">
        <w:t>PA to the assistant director for</w:t>
      </w:r>
      <w:r w:rsidRPr="00AC4332">
        <w:t xml:space="preserve"> education.</w:t>
      </w:r>
    </w:p>
    <w:p w14:paraId="741F0DF8" w14:textId="77777777" w:rsidR="00AC4332" w:rsidRPr="00AC4332" w:rsidRDefault="00A9664E" w:rsidP="00AC4332">
      <w:pPr>
        <w:spacing w:after="60"/>
      </w:pPr>
      <w:r>
        <w:t>4</w:t>
      </w:r>
      <w:r w:rsidR="00AC4332" w:rsidRPr="00AC4332">
        <w:t>.4</w:t>
      </w:r>
      <w:r w:rsidR="00AC4332" w:rsidRPr="00AC4332">
        <w:tab/>
        <w:t>Agendas will be:</w:t>
      </w:r>
    </w:p>
    <w:p w14:paraId="6667E59E" w14:textId="77777777" w:rsidR="00AC4332" w:rsidRPr="00AC4332" w:rsidRDefault="00AC4332" w:rsidP="00AC4332">
      <w:pPr>
        <w:numPr>
          <w:ilvl w:val="0"/>
          <w:numId w:val="15"/>
        </w:numPr>
        <w:spacing w:after="100" w:line="252" w:lineRule="auto"/>
        <w:ind w:left="425" w:hanging="425"/>
      </w:pPr>
      <w:r w:rsidRPr="00AC4332">
        <w:t>agreed each term at the beginning of each term; and</w:t>
      </w:r>
    </w:p>
    <w:p w14:paraId="3AE0C86C" w14:textId="77777777" w:rsidR="00AC4332" w:rsidRPr="00AC4332" w:rsidRDefault="00AC4332" w:rsidP="00AC4332">
      <w:pPr>
        <w:numPr>
          <w:ilvl w:val="0"/>
          <w:numId w:val="15"/>
        </w:numPr>
        <w:spacing w:after="160" w:line="252" w:lineRule="auto"/>
        <w:ind w:left="425" w:hanging="425"/>
      </w:pPr>
      <w:r w:rsidRPr="00AC4332">
        <w:t xml:space="preserve">circulated to members, </w:t>
      </w:r>
      <w:bookmarkStart w:id="1" w:name="_Hlk71276968"/>
      <w:r w:rsidRPr="00AC4332">
        <w:rPr>
          <w:bCs/>
        </w:rPr>
        <w:t>plus all other</w:t>
      </w:r>
      <w:r w:rsidRPr="00AC4332">
        <w:t xml:space="preserve"> </w:t>
      </w:r>
      <w:r w:rsidRPr="00AC4332">
        <w:rPr>
          <w:bCs/>
        </w:rPr>
        <w:t>maintained and academy school head teachers and trust chief executives</w:t>
      </w:r>
      <w:r w:rsidRPr="00AC4332">
        <w:rPr>
          <w:b/>
          <w:bCs/>
        </w:rPr>
        <w:t>,</w:t>
      </w:r>
      <w:bookmarkEnd w:id="1"/>
      <w:r w:rsidRPr="00AC4332">
        <w:rPr>
          <w:b/>
          <w:bCs/>
        </w:rPr>
        <w:t xml:space="preserve"> </w:t>
      </w:r>
      <w:r w:rsidRPr="00AC4332">
        <w:t xml:space="preserve">with the minutes and action notes of the previous meeting, at least </w:t>
      </w:r>
      <w:r w:rsidR="00A6332E">
        <w:t>five</w:t>
      </w:r>
      <w:r w:rsidRPr="00AC4332">
        <w:t xml:space="preserve"> working days before each meeting.</w:t>
      </w:r>
    </w:p>
    <w:p w14:paraId="5C75B1E5" w14:textId="77777777" w:rsidR="00AC4332" w:rsidRPr="00AC4332" w:rsidRDefault="00A9664E" w:rsidP="00AC4332">
      <w:pPr>
        <w:spacing w:after="60"/>
      </w:pPr>
      <w:r>
        <w:t>4</w:t>
      </w:r>
      <w:r w:rsidR="00AC4332" w:rsidRPr="00AC4332">
        <w:t>.5</w:t>
      </w:r>
      <w:r w:rsidR="00AC4332" w:rsidRPr="00AC4332">
        <w:tab/>
        <w:t>Meeting records will be:</w:t>
      </w:r>
    </w:p>
    <w:p w14:paraId="2A369627" w14:textId="77777777" w:rsidR="00AC4332" w:rsidRPr="00AC4332" w:rsidRDefault="00AC4332" w:rsidP="00AC4332">
      <w:pPr>
        <w:numPr>
          <w:ilvl w:val="0"/>
          <w:numId w:val="15"/>
        </w:numPr>
        <w:spacing w:after="100" w:line="252" w:lineRule="auto"/>
        <w:ind w:left="425" w:hanging="425"/>
      </w:pPr>
      <w:r w:rsidRPr="00AC4332">
        <w:t xml:space="preserve">sent to all members and attendees of meetings for comments and proposed amendments within seven working days of the previous </w:t>
      </w:r>
      <w:proofErr w:type="gramStart"/>
      <w:r w:rsidRPr="00AC4332">
        <w:t>meeting;</w:t>
      </w:r>
      <w:proofErr w:type="gramEnd"/>
      <w:r w:rsidRPr="00AC4332">
        <w:t xml:space="preserve"> and</w:t>
      </w:r>
    </w:p>
    <w:p w14:paraId="0B2B2898" w14:textId="77777777" w:rsidR="00AC4332" w:rsidRPr="00AC4332" w:rsidRDefault="00AC4332" w:rsidP="00AC4332">
      <w:pPr>
        <w:numPr>
          <w:ilvl w:val="0"/>
          <w:numId w:val="15"/>
        </w:numPr>
        <w:spacing w:after="100" w:line="252" w:lineRule="auto"/>
        <w:ind w:left="425" w:hanging="425"/>
      </w:pPr>
      <w:r w:rsidRPr="00AC4332">
        <w:t xml:space="preserve">circulated to all members, </w:t>
      </w:r>
      <w:r w:rsidRPr="00467D0B">
        <w:rPr>
          <w:bCs/>
        </w:rPr>
        <w:t>plus all other</w:t>
      </w:r>
      <w:r w:rsidRPr="00467D0B">
        <w:t xml:space="preserve"> </w:t>
      </w:r>
      <w:r w:rsidRPr="00467D0B">
        <w:rPr>
          <w:bCs/>
        </w:rPr>
        <w:t>maintained and academy school head teachers and trust chief executives,</w:t>
      </w:r>
      <w:r w:rsidRPr="00AC4332">
        <w:t xml:space="preserve"> within 10 working days of the </w:t>
      </w:r>
      <w:proofErr w:type="gramStart"/>
      <w:r w:rsidRPr="00AC4332">
        <w:t>meeting;</w:t>
      </w:r>
      <w:proofErr w:type="gramEnd"/>
      <w:r w:rsidRPr="00AC4332">
        <w:t xml:space="preserve"> and</w:t>
      </w:r>
    </w:p>
    <w:p w14:paraId="11C0FB34" w14:textId="77777777" w:rsidR="00AC4332" w:rsidRPr="00AC4332" w:rsidRDefault="00AC4332" w:rsidP="00AC4332">
      <w:pPr>
        <w:numPr>
          <w:ilvl w:val="0"/>
          <w:numId w:val="15"/>
        </w:numPr>
        <w:spacing w:after="160" w:line="252" w:lineRule="auto"/>
        <w:ind w:left="425" w:hanging="425"/>
      </w:pPr>
      <w:r w:rsidRPr="00AC4332">
        <w:t>circulated along with agenda for the next meeting.</w:t>
      </w:r>
    </w:p>
    <w:p w14:paraId="3371C545" w14:textId="77777777" w:rsidR="00AC4332" w:rsidRPr="00AC4332" w:rsidRDefault="00AC4332" w:rsidP="00AC4332">
      <w:r w:rsidRPr="00AC4332">
        <w:t>3.6</w:t>
      </w:r>
      <w:r w:rsidRPr="00AC4332">
        <w:tab/>
        <w:t xml:space="preserve">All meetings will start with recording attendees and apologies for absence, the final agreement and signing by the chair of the previous meeting’s </w:t>
      </w:r>
      <w:proofErr w:type="gramStart"/>
      <w:r w:rsidRPr="00AC4332">
        <w:t>minute, and</w:t>
      </w:r>
      <w:proofErr w:type="gramEnd"/>
      <w:r w:rsidRPr="00AC4332">
        <w:t xml:space="preserve"> discussing and recording progress against any agreed actions.  There will not be any other business on agendas.</w:t>
      </w:r>
    </w:p>
    <w:p w14:paraId="2EA9B791" w14:textId="77777777" w:rsidR="00AC4332" w:rsidRPr="00AC4332" w:rsidRDefault="00A9664E" w:rsidP="00A9664E">
      <w:pPr>
        <w:pStyle w:val="Heading2"/>
      </w:pPr>
      <w:r>
        <w:t>5</w:t>
      </w:r>
      <w:r w:rsidR="00AC4332" w:rsidRPr="00AC4332">
        <w:tab/>
        <w:t>Meeting venue</w:t>
      </w:r>
    </w:p>
    <w:p w14:paraId="3FF404CD" w14:textId="77777777" w:rsidR="00AC4332" w:rsidRPr="00AC4332" w:rsidRDefault="00A9664E" w:rsidP="00AC4332">
      <w:r>
        <w:t>5</w:t>
      </w:r>
      <w:r w:rsidR="00AC4332" w:rsidRPr="00AC4332">
        <w:t>.1</w:t>
      </w:r>
      <w:r w:rsidR="00AC4332" w:rsidRPr="00AC4332">
        <w:tab/>
        <w:t xml:space="preserve">Initial meetings will be arranged via Teams.  This is highly cost-effective in terms of time and </w:t>
      </w:r>
      <w:proofErr w:type="gramStart"/>
      <w:r w:rsidR="00AC4332" w:rsidRPr="00AC4332">
        <w:t>travel, and</w:t>
      </w:r>
      <w:proofErr w:type="gramEnd"/>
      <w:r w:rsidR="00AC4332" w:rsidRPr="00AC4332">
        <w:t xml:space="preserve"> has worked well for reference group and other meetings</w:t>
      </w:r>
      <w:r w:rsidR="00AC4332" w:rsidRPr="00467D0B">
        <w:t xml:space="preserve">.  </w:t>
      </w:r>
      <w:r w:rsidR="00AC4332" w:rsidRPr="00467D0B">
        <w:rPr>
          <w:bCs/>
        </w:rPr>
        <w:t>It is the only realistic means of enabling an open invitation to all school leaders</w:t>
      </w:r>
      <w:r w:rsidRPr="00467D0B">
        <w:rPr>
          <w:bCs/>
        </w:rPr>
        <w:t xml:space="preserve"> and trust chief executives</w:t>
      </w:r>
      <w:r w:rsidR="00AC4332" w:rsidRPr="00467D0B">
        <w:t>.</w:t>
      </w:r>
    </w:p>
    <w:p w14:paraId="0F68FF1F" w14:textId="77777777" w:rsidR="00AC4332" w:rsidRPr="00AC4332" w:rsidRDefault="00A9664E" w:rsidP="00AC4332">
      <w:r>
        <w:t>5</w:t>
      </w:r>
      <w:r w:rsidR="00AC4332" w:rsidRPr="00AC4332">
        <w:t>.2</w:t>
      </w:r>
      <w:r w:rsidR="00AC4332" w:rsidRPr="00AC4332">
        <w:tab/>
        <w:t xml:space="preserve">However, it is the case that meeting physically has advantages, </w:t>
      </w:r>
      <w:proofErr w:type="gramStart"/>
      <w:r w:rsidR="00AC4332" w:rsidRPr="00AC4332">
        <w:t>and,</w:t>
      </w:r>
      <w:proofErr w:type="gramEnd"/>
      <w:r w:rsidR="00AC4332" w:rsidRPr="00AC4332">
        <w:t xml:space="preserve"> once convened, the group will be asked if it wishes to retain Teams meetings, move to a mix of on-line and venue-based meetings.  Given the proposed size (2</w:t>
      </w:r>
      <w:r w:rsidR="00467D0B">
        <w:t xml:space="preserve">1 </w:t>
      </w:r>
      <w:r w:rsidR="00AC4332" w:rsidRPr="00AC4332">
        <w:t xml:space="preserve">members), it is likely that most meetings will be via electronic media.  </w:t>
      </w:r>
    </w:p>
    <w:p w14:paraId="4A100926" w14:textId="21295F78" w:rsidR="00AC4332" w:rsidRPr="00AC4332" w:rsidRDefault="00AC4332" w:rsidP="00AC4332">
      <w:pPr>
        <w:tabs>
          <w:tab w:val="left" w:pos="5105"/>
        </w:tabs>
      </w:pPr>
      <w:r w:rsidRPr="00AC4332">
        <w:t>C</w:t>
      </w:r>
      <w:r w:rsidR="00A9664E">
        <w:t>hris Kiernan</w:t>
      </w:r>
      <w:r w:rsidR="00A9664E">
        <w:br/>
        <w:t>assistant director for education</w:t>
      </w:r>
      <w:r w:rsidRPr="00AC4332">
        <w:br/>
      </w:r>
      <w:r w:rsidR="009F4DAD">
        <w:t>21 November</w:t>
      </w:r>
      <w:r w:rsidRPr="00AC4332">
        <w:t xml:space="preserve"> 2021</w:t>
      </w:r>
    </w:p>
    <w:p w14:paraId="643BDC2E" w14:textId="77777777" w:rsidR="000A08BB" w:rsidRDefault="000A08BB" w:rsidP="000A08BB">
      <w:pPr>
        <w:rPr>
          <w:sz w:val="24"/>
          <w:szCs w:val="24"/>
        </w:rPr>
      </w:pPr>
    </w:p>
    <w:p w14:paraId="677AC7B2" w14:textId="77777777" w:rsidR="00C11E1A" w:rsidRDefault="00C11E1A" w:rsidP="000A08BB">
      <w:pPr>
        <w:rPr>
          <w:sz w:val="24"/>
          <w:szCs w:val="24"/>
        </w:rPr>
      </w:pPr>
    </w:p>
    <w:p w14:paraId="6C4BE296" w14:textId="77777777" w:rsidR="00C11E1A" w:rsidRDefault="00C11E1A" w:rsidP="000A08BB">
      <w:pPr>
        <w:rPr>
          <w:sz w:val="24"/>
          <w:szCs w:val="24"/>
        </w:rPr>
      </w:pPr>
    </w:p>
    <w:p w14:paraId="3640760D" w14:textId="77777777" w:rsidR="00C11E1A" w:rsidRDefault="00C11E1A" w:rsidP="000A08BB">
      <w:pPr>
        <w:rPr>
          <w:sz w:val="24"/>
          <w:szCs w:val="24"/>
        </w:rPr>
      </w:pPr>
    </w:p>
    <w:p w14:paraId="61FD9761" w14:textId="77777777" w:rsidR="00C11E1A" w:rsidRDefault="00C11E1A" w:rsidP="000A08BB">
      <w:pPr>
        <w:rPr>
          <w:sz w:val="24"/>
          <w:szCs w:val="24"/>
        </w:rPr>
      </w:pPr>
    </w:p>
    <w:p w14:paraId="58A54917" w14:textId="77777777" w:rsidR="00C11E1A" w:rsidRDefault="00C11E1A" w:rsidP="000A08BB">
      <w:pPr>
        <w:rPr>
          <w:sz w:val="24"/>
          <w:szCs w:val="24"/>
        </w:rPr>
      </w:pPr>
    </w:p>
    <w:p w14:paraId="57F1E3ED" w14:textId="77777777" w:rsidR="00C11E1A" w:rsidRDefault="00C11E1A" w:rsidP="000A08BB">
      <w:pPr>
        <w:rPr>
          <w:sz w:val="24"/>
          <w:szCs w:val="24"/>
        </w:rPr>
      </w:pPr>
    </w:p>
    <w:p w14:paraId="75C1DC80" w14:textId="77777777" w:rsidR="00C11E1A" w:rsidRDefault="00C11E1A" w:rsidP="000A08BB">
      <w:pPr>
        <w:rPr>
          <w:sz w:val="24"/>
          <w:szCs w:val="24"/>
        </w:rPr>
      </w:pPr>
    </w:p>
    <w:p w14:paraId="29351FCD" w14:textId="77777777" w:rsidR="00C11E1A" w:rsidRDefault="00C11E1A" w:rsidP="000A08BB">
      <w:pPr>
        <w:rPr>
          <w:sz w:val="24"/>
          <w:szCs w:val="24"/>
        </w:rPr>
      </w:pPr>
    </w:p>
    <w:p w14:paraId="7611B457" w14:textId="77777777" w:rsidR="00C11E1A" w:rsidRDefault="00C11E1A" w:rsidP="000A08BB">
      <w:pPr>
        <w:rPr>
          <w:sz w:val="24"/>
          <w:szCs w:val="24"/>
        </w:rPr>
      </w:pPr>
    </w:p>
    <w:p w14:paraId="204068A4" w14:textId="77777777" w:rsidR="00C11E1A" w:rsidRDefault="00C11E1A" w:rsidP="000A08BB">
      <w:pPr>
        <w:rPr>
          <w:sz w:val="24"/>
          <w:szCs w:val="24"/>
        </w:rPr>
      </w:pPr>
    </w:p>
    <w:p w14:paraId="61FB18F1" w14:textId="77777777" w:rsidR="00C11E1A" w:rsidRDefault="00C11E1A" w:rsidP="000A08BB">
      <w:pPr>
        <w:rPr>
          <w:sz w:val="24"/>
          <w:szCs w:val="24"/>
        </w:rPr>
      </w:pPr>
    </w:p>
    <w:p w14:paraId="78F8CCAF" w14:textId="77777777" w:rsidR="00C11E1A" w:rsidRDefault="00C11E1A" w:rsidP="000A08BB">
      <w:pPr>
        <w:rPr>
          <w:sz w:val="24"/>
          <w:szCs w:val="24"/>
        </w:rPr>
      </w:pPr>
    </w:p>
    <w:p w14:paraId="7BD14E6E" w14:textId="77777777" w:rsidR="00C11E1A" w:rsidRDefault="00C11E1A" w:rsidP="000A08BB">
      <w:pPr>
        <w:rPr>
          <w:sz w:val="24"/>
          <w:szCs w:val="24"/>
        </w:rPr>
      </w:pPr>
    </w:p>
    <w:p w14:paraId="27BAD1B7" w14:textId="77777777" w:rsidR="00C11E1A" w:rsidRDefault="00C11E1A" w:rsidP="000A08BB">
      <w:pPr>
        <w:rPr>
          <w:sz w:val="24"/>
          <w:szCs w:val="24"/>
        </w:rPr>
      </w:pPr>
    </w:p>
    <w:p w14:paraId="450C27C8" w14:textId="77777777" w:rsidR="00C11E1A" w:rsidRDefault="00C11E1A" w:rsidP="000A08BB">
      <w:pPr>
        <w:rPr>
          <w:sz w:val="24"/>
          <w:szCs w:val="24"/>
        </w:rPr>
      </w:pPr>
    </w:p>
    <w:p w14:paraId="7E5EF660" w14:textId="77777777" w:rsidR="00C11E1A" w:rsidRDefault="00C11E1A" w:rsidP="000A08BB">
      <w:pPr>
        <w:rPr>
          <w:sz w:val="24"/>
          <w:szCs w:val="24"/>
        </w:rPr>
      </w:pPr>
    </w:p>
    <w:p w14:paraId="1C1EAF19" w14:textId="77777777" w:rsidR="00C11E1A" w:rsidRDefault="00C11E1A" w:rsidP="000A08BB">
      <w:pPr>
        <w:rPr>
          <w:sz w:val="24"/>
          <w:szCs w:val="24"/>
        </w:rPr>
      </w:pPr>
    </w:p>
    <w:p w14:paraId="60300D0D" w14:textId="77777777" w:rsidR="00C11E1A" w:rsidRDefault="00C11E1A" w:rsidP="000A08BB">
      <w:pPr>
        <w:rPr>
          <w:sz w:val="24"/>
          <w:szCs w:val="24"/>
        </w:rPr>
      </w:pPr>
    </w:p>
    <w:p w14:paraId="2E7183B1" w14:textId="77777777" w:rsidR="00C11E1A" w:rsidRDefault="00C11E1A" w:rsidP="000A08BB">
      <w:pPr>
        <w:rPr>
          <w:sz w:val="24"/>
          <w:szCs w:val="24"/>
        </w:rPr>
      </w:pPr>
    </w:p>
    <w:p w14:paraId="53D5DA37" w14:textId="77777777" w:rsidR="00C11E1A" w:rsidRDefault="00C11E1A" w:rsidP="000A08BB">
      <w:pPr>
        <w:rPr>
          <w:sz w:val="24"/>
          <w:szCs w:val="24"/>
        </w:rPr>
      </w:pPr>
    </w:p>
    <w:p w14:paraId="4E2163AB" w14:textId="77777777" w:rsidR="00C11E1A" w:rsidRDefault="00C11E1A" w:rsidP="000A08BB">
      <w:pPr>
        <w:rPr>
          <w:sz w:val="24"/>
          <w:szCs w:val="24"/>
        </w:rPr>
      </w:pPr>
    </w:p>
    <w:p w14:paraId="71F98257" w14:textId="77777777" w:rsidR="00C11E1A" w:rsidRDefault="00C11E1A" w:rsidP="000A08BB">
      <w:pPr>
        <w:rPr>
          <w:sz w:val="24"/>
          <w:szCs w:val="24"/>
        </w:rPr>
      </w:pPr>
    </w:p>
    <w:p w14:paraId="0C0A410A" w14:textId="77777777" w:rsidR="00C11E1A" w:rsidRDefault="00C11E1A" w:rsidP="000A08BB">
      <w:pPr>
        <w:rPr>
          <w:sz w:val="24"/>
          <w:szCs w:val="24"/>
        </w:rPr>
      </w:pPr>
    </w:p>
    <w:p w14:paraId="006DD2CF" w14:textId="77777777" w:rsidR="00C11E1A" w:rsidRDefault="00C11E1A" w:rsidP="000A08BB">
      <w:pPr>
        <w:rPr>
          <w:sz w:val="24"/>
          <w:szCs w:val="24"/>
        </w:rPr>
      </w:pPr>
    </w:p>
    <w:p w14:paraId="103D0F31" w14:textId="77777777" w:rsidR="00C11E1A" w:rsidRDefault="00C11E1A" w:rsidP="000A08BB">
      <w:pPr>
        <w:rPr>
          <w:sz w:val="24"/>
          <w:szCs w:val="24"/>
        </w:rPr>
      </w:pPr>
    </w:p>
    <w:p w14:paraId="117C82ED" w14:textId="77777777" w:rsidR="00C11E1A" w:rsidRDefault="00C11E1A" w:rsidP="000A08BB">
      <w:pPr>
        <w:rPr>
          <w:sz w:val="24"/>
          <w:szCs w:val="24"/>
        </w:rPr>
      </w:pPr>
    </w:p>
    <w:p w14:paraId="70B77EF2" w14:textId="77777777" w:rsidR="00C11E1A" w:rsidRDefault="00C11E1A" w:rsidP="000A08BB">
      <w:pPr>
        <w:rPr>
          <w:sz w:val="24"/>
          <w:szCs w:val="24"/>
        </w:rPr>
      </w:pPr>
    </w:p>
    <w:p w14:paraId="4A8DFEFD" w14:textId="77777777" w:rsidR="00C11E1A" w:rsidRDefault="00C11E1A" w:rsidP="000A08BB">
      <w:pPr>
        <w:rPr>
          <w:sz w:val="24"/>
          <w:szCs w:val="24"/>
        </w:rPr>
      </w:pPr>
    </w:p>
    <w:p w14:paraId="447C15E3" w14:textId="77777777" w:rsidR="00C11E1A" w:rsidRDefault="00C11E1A" w:rsidP="000A08BB">
      <w:pPr>
        <w:rPr>
          <w:sz w:val="24"/>
          <w:szCs w:val="24"/>
        </w:rPr>
      </w:pPr>
    </w:p>
    <w:p w14:paraId="67608778" w14:textId="77777777" w:rsidR="00C11E1A" w:rsidRDefault="00C11E1A" w:rsidP="000A08BB">
      <w:pPr>
        <w:rPr>
          <w:sz w:val="24"/>
          <w:szCs w:val="24"/>
        </w:rPr>
      </w:pPr>
    </w:p>
    <w:p w14:paraId="7D39F6E8" w14:textId="77777777" w:rsidR="00C11E1A" w:rsidRDefault="00C11E1A" w:rsidP="000A08BB">
      <w:pPr>
        <w:rPr>
          <w:sz w:val="24"/>
          <w:szCs w:val="24"/>
        </w:rPr>
      </w:pPr>
    </w:p>
    <w:p w14:paraId="33C22D33" w14:textId="77777777" w:rsidR="00C11E1A" w:rsidRDefault="00C11E1A" w:rsidP="000A08BB">
      <w:pPr>
        <w:rPr>
          <w:sz w:val="24"/>
          <w:szCs w:val="24"/>
        </w:rPr>
      </w:pPr>
    </w:p>
    <w:p w14:paraId="3B4CCE60" w14:textId="77777777" w:rsidR="00C11E1A" w:rsidRPr="000A08BB" w:rsidRDefault="00C11E1A" w:rsidP="000A08BB">
      <w:pPr>
        <w:rPr>
          <w:sz w:val="24"/>
          <w:szCs w:val="24"/>
        </w:rPr>
      </w:pPr>
    </w:p>
    <w:p w14:paraId="0C961258" w14:textId="77777777" w:rsidR="000A08BB" w:rsidRPr="000A08BB" w:rsidRDefault="000A08BB" w:rsidP="000A08BB">
      <w:pPr>
        <w:rPr>
          <w:sz w:val="24"/>
          <w:szCs w:val="24"/>
        </w:rPr>
      </w:pPr>
    </w:p>
    <w:p w14:paraId="744A68CC" w14:textId="77777777" w:rsidR="000A08BB" w:rsidRPr="000A08BB" w:rsidRDefault="000A08BB" w:rsidP="000A08BB">
      <w:pPr>
        <w:rPr>
          <w:sz w:val="24"/>
          <w:szCs w:val="24"/>
        </w:rPr>
      </w:pPr>
    </w:p>
    <w:p w14:paraId="65A3481A" w14:textId="77777777" w:rsidR="000A08BB" w:rsidRPr="000A08BB" w:rsidRDefault="000A08BB" w:rsidP="000A08BB">
      <w:pPr>
        <w:rPr>
          <w:sz w:val="24"/>
          <w:szCs w:val="24"/>
        </w:rPr>
      </w:pPr>
    </w:p>
    <w:p w14:paraId="44120029" w14:textId="77777777" w:rsidR="000A08BB" w:rsidRDefault="000A08BB" w:rsidP="000A08BB">
      <w:pPr>
        <w:rPr>
          <w:sz w:val="24"/>
          <w:szCs w:val="24"/>
        </w:rPr>
      </w:pPr>
    </w:p>
    <w:p w14:paraId="019D0242" w14:textId="77777777" w:rsidR="00667CD0" w:rsidRPr="000A08BB" w:rsidRDefault="000A08BB" w:rsidP="000A08BB">
      <w:pPr>
        <w:tabs>
          <w:tab w:val="left" w:pos="5105"/>
        </w:tabs>
        <w:rPr>
          <w:sz w:val="24"/>
          <w:szCs w:val="24"/>
        </w:rPr>
      </w:pPr>
      <w:r>
        <w:rPr>
          <w:sz w:val="24"/>
          <w:szCs w:val="24"/>
        </w:rPr>
        <w:tab/>
      </w:r>
    </w:p>
    <w:sectPr w:rsidR="00667CD0" w:rsidRPr="000A08BB" w:rsidSect="00AB4E8F">
      <w:footerReference w:type="default" r:id="rId14"/>
      <w:headerReference w:type="first" r:id="rId15"/>
      <w:footerReference w:type="first" r:id="rId16"/>
      <w:pgSz w:w="11906" w:h="16838"/>
      <w:pgMar w:top="753" w:right="1133" w:bottom="851"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75664" w14:textId="77777777" w:rsidR="00F24A23" w:rsidRDefault="00F24A23" w:rsidP="00566A73">
      <w:pPr>
        <w:spacing w:after="0" w:line="240" w:lineRule="auto"/>
      </w:pPr>
      <w:r>
        <w:separator/>
      </w:r>
    </w:p>
  </w:endnote>
  <w:endnote w:type="continuationSeparator" w:id="0">
    <w:p w14:paraId="482223CD" w14:textId="77777777" w:rsidR="00F24A23" w:rsidRDefault="00F24A23" w:rsidP="0056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523489"/>
      <w:docPartObj>
        <w:docPartGallery w:val="Page Numbers (Bottom of Page)"/>
        <w:docPartUnique/>
      </w:docPartObj>
    </w:sdtPr>
    <w:sdtEndPr>
      <w:rPr>
        <w:noProof/>
      </w:rPr>
    </w:sdtEndPr>
    <w:sdtContent>
      <w:p w14:paraId="7256BB82" w14:textId="77777777" w:rsidR="00AD16CF" w:rsidRDefault="00AD16CF" w:rsidP="00C11E1A">
        <w:pPr>
          <w:pStyle w:val="Footer"/>
          <w:pBdr>
            <w:top w:val="single" w:sz="12" w:space="1" w:color="auto"/>
          </w:pBdr>
        </w:pPr>
        <w:r>
          <w:fldChar w:fldCharType="begin"/>
        </w:r>
        <w:r>
          <w:instrText xml:space="preserve"> PAGE   \* MERGEFORMAT </w:instrText>
        </w:r>
        <w:r>
          <w:fldChar w:fldCharType="separate"/>
        </w:r>
        <w:r w:rsidR="006F17EA">
          <w:rPr>
            <w:noProof/>
          </w:rPr>
          <w:t>5</w:t>
        </w:r>
        <w:r>
          <w:rPr>
            <w:noProof/>
          </w:rPr>
          <w:fldChar w:fldCharType="end"/>
        </w:r>
        <w:r>
          <w:rPr>
            <w:noProof/>
          </w:rPr>
          <w:tab/>
        </w:r>
        <w:r>
          <w:rPr>
            <w:noProof/>
          </w:rPr>
          <w:tab/>
        </w:r>
      </w:p>
    </w:sdtContent>
  </w:sdt>
  <w:p w14:paraId="0464578D" w14:textId="77777777" w:rsidR="00AD16CF" w:rsidRDefault="00AD1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C3CA" w14:textId="77777777" w:rsidR="00AD16CF" w:rsidRPr="00D14C62" w:rsidRDefault="00AD16CF" w:rsidP="00C11E1A">
    <w:pPr>
      <w:pStyle w:val="Footer"/>
      <w:pBdr>
        <w:top w:val="single" w:sz="12" w:space="1" w:color="4A442A" w:themeColor="background2" w:themeShade="40"/>
      </w:pBdr>
      <w:jc w:val="right"/>
      <w:rPr>
        <w:rFonts w:ascii="Arial" w:hAnsi="Arial" w:cs="Arial"/>
      </w:rPr>
    </w:pPr>
    <w:r w:rsidRPr="00D14C62">
      <w:rPr>
        <w:rFonts w:ascii="Arial" w:hAnsi="Arial" w:cs="Arial"/>
      </w:rPr>
      <w:fldChar w:fldCharType="begin"/>
    </w:r>
    <w:r w:rsidRPr="00D14C62">
      <w:rPr>
        <w:rFonts w:ascii="Arial" w:hAnsi="Arial" w:cs="Arial"/>
      </w:rPr>
      <w:instrText xml:space="preserve"> PAGE   \* MERGEFORMAT </w:instrText>
    </w:r>
    <w:r w:rsidRPr="00D14C62">
      <w:rPr>
        <w:rFonts w:ascii="Arial" w:hAnsi="Arial" w:cs="Arial"/>
      </w:rPr>
      <w:fldChar w:fldCharType="separate"/>
    </w:r>
    <w:r w:rsidR="006F17EA">
      <w:rPr>
        <w:rFonts w:ascii="Arial" w:hAnsi="Arial" w:cs="Arial"/>
        <w:noProof/>
      </w:rPr>
      <w:t>1</w:t>
    </w:r>
    <w:r w:rsidRPr="00D14C62">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D97F" w14:textId="77777777" w:rsidR="00F24A23" w:rsidRDefault="00F24A23" w:rsidP="00566A73">
      <w:pPr>
        <w:spacing w:after="0" w:line="240" w:lineRule="auto"/>
      </w:pPr>
      <w:r>
        <w:separator/>
      </w:r>
    </w:p>
  </w:footnote>
  <w:footnote w:type="continuationSeparator" w:id="0">
    <w:p w14:paraId="53958173" w14:textId="77777777" w:rsidR="00F24A23" w:rsidRDefault="00F24A23" w:rsidP="0056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F6AA" w14:textId="77777777" w:rsidR="00AD16CF" w:rsidRPr="00B92774" w:rsidRDefault="00A51ED6" w:rsidP="00C11E1A">
    <w:pPr>
      <w:pStyle w:val="Heading1"/>
      <w:pBdr>
        <w:bottom w:val="single" w:sz="12" w:space="1" w:color="4F6228" w:themeColor="accent3" w:themeShade="80"/>
      </w:pBdr>
      <w:tabs>
        <w:tab w:val="clear" w:pos="425"/>
        <w:tab w:val="left" w:pos="7560"/>
        <w:tab w:val="left" w:pos="7641"/>
        <w:tab w:val="right" w:pos="9356"/>
      </w:tabs>
    </w:pPr>
    <w:r>
      <w:t xml:space="preserve">West Northants education partnership </w:t>
    </w:r>
    <w:r w:rsidR="00700482">
      <w:t>board</w:t>
    </w:r>
    <w:r w:rsidR="00C11E1A">
      <w:tab/>
    </w:r>
    <w:r w:rsidR="00C11E1A">
      <w:rPr>
        <w:b w:val="0"/>
        <w:noProof/>
        <w:lang w:eastAsia="en-GB"/>
      </w:rPr>
      <w:drawing>
        <wp:inline distT="0" distB="0" distL="0" distR="0" wp14:anchorId="1140FBEE" wp14:editId="050D8CF1">
          <wp:extent cx="1083945" cy="580972"/>
          <wp:effectExtent l="0" t="0" r="1905" b="0"/>
          <wp:docPr id="2" name="Picture 2" descr="C:\Users\CKiernan\AppData\Local\Microsoft\Windows\INetCache\Content.MSO\1DF80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iernan\AppData\Local\Microsoft\Windows\INetCache\Content.MSO\1DF804E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94" cy="671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51E"/>
    <w:multiLevelType w:val="hybridMultilevel"/>
    <w:tmpl w:val="99722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B5C"/>
    <w:multiLevelType w:val="hybridMultilevel"/>
    <w:tmpl w:val="949CC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00483E"/>
    <w:multiLevelType w:val="hybridMultilevel"/>
    <w:tmpl w:val="54386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D1203B"/>
    <w:multiLevelType w:val="hybridMultilevel"/>
    <w:tmpl w:val="482ADC64"/>
    <w:lvl w:ilvl="0" w:tplc="1DB631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B5D86"/>
    <w:multiLevelType w:val="hybridMultilevel"/>
    <w:tmpl w:val="71985A94"/>
    <w:lvl w:ilvl="0" w:tplc="020CDC8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A527A"/>
    <w:multiLevelType w:val="hybridMultilevel"/>
    <w:tmpl w:val="B9EA005E"/>
    <w:lvl w:ilvl="0" w:tplc="7EBED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D0BE5"/>
    <w:multiLevelType w:val="hybridMultilevel"/>
    <w:tmpl w:val="42C869FC"/>
    <w:lvl w:ilvl="0" w:tplc="EF1CCE56">
      <w:start w:val="16"/>
      <w:numFmt w:val="bullet"/>
      <w:lvlText w:val=""/>
      <w:lvlJc w:val="left"/>
      <w:pPr>
        <w:ind w:left="405" w:hanging="360"/>
      </w:pPr>
      <w:rPr>
        <w:rFonts w:ascii="Symbol" w:eastAsiaTheme="minorHAnsi" w:hAnsi="Symbol" w:cs="Consola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6BA76FD"/>
    <w:multiLevelType w:val="hybridMultilevel"/>
    <w:tmpl w:val="0958C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822A9"/>
    <w:multiLevelType w:val="hybridMultilevel"/>
    <w:tmpl w:val="B5F058F2"/>
    <w:lvl w:ilvl="0" w:tplc="EF1CCE56">
      <w:start w:val="16"/>
      <w:numFmt w:val="bullet"/>
      <w:lvlText w:val=""/>
      <w:lvlJc w:val="left"/>
      <w:pPr>
        <w:ind w:left="405" w:hanging="360"/>
      </w:pPr>
      <w:rPr>
        <w:rFonts w:ascii="Symbol" w:eastAsiaTheme="minorHAnsi" w:hAnsi="Symbol"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F51D0"/>
    <w:multiLevelType w:val="hybridMultilevel"/>
    <w:tmpl w:val="D1DECC76"/>
    <w:lvl w:ilvl="0" w:tplc="46BE682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1B6C2A"/>
    <w:multiLevelType w:val="hybridMultilevel"/>
    <w:tmpl w:val="BF42F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626680"/>
    <w:multiLevelType w:val="hybridMultilevel"/>
    <w:tmpl w:val="32FC5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C7760C"/>
    <w:multiLevelType w:val="hybridMultilevel"/>
    <w:tmpl w:val="E032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46A79"/>
    <w:multiLevelType w:val="hybridMultilevel"/>
    <w:tmpl w:val="C368F832"/>
    <w:lvl w:ilvl="0" w:tplc="0F7434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826C4"/>
    <w:multiLevelType w:val="hybridMultilevel"/>
    <w:tmpl w:val="F44C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40565"/>
    <w:multiLevelType w:val="hybridMultilevel"/>
    <w:tmpl w:val="8634E05A"/>
    <w:lvl w:ilvl="0" w:tplc="873221D0">
      <w:start w:val="16"/>
      <w:numFmt w:val="bullet"/>
      <w:lvlText w:val=""/>
      <w:lvlJc w:val="left"/>
      <w:pPr>
        <w:ind w:left="720" w:hanging="360"/>
      </w:pPr>
      <w:rPr>
        <w:rFonts w:ascii="Symbol" w:eastAsiaTheme="minorHAnsi" w:hAnsi="Symbol"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C2BAC"/>
    <w:multiLevelType w:val="hybridMultilevel"/>
    <w:tmpl w:val="E572EFD8"/>
    <w:lvl w:ilvl="0" w:tplc="FFF2B20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5B6668"/>
    <w:multiLevelType w:val="hybridMultilevel"/>
    <w:tmpl w:val="82C8D308"/>
    <w:lvl w:ilvl="0" w:tplc="8F948B7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0"/>
  </w:num>
  <w:num w:numId="5">
    <w:abstractNumId w:val="1"/>
  </w:num>
  <w:num w:numId="6">
    <w:abstractNumId w:val="11"/>
  </w:num>
  <w:num w:numId="7">
    <w:abstractNumId w:val="4"/>
  </w:num>
  <w:num w:numId="8">
    <w:abstractNumId w:val="12"/>
  </w:num>
  <w:num w:numId="9">
    <w:abstractNumId w:val="0"/>
  </w:num>
  <w:num w:numId="10">
    <w:abstractNumId w:val="15"/>
  </w:num>
  <w:num w:numId="11">
    <w:abstractNumId w:val="6"/>
  </w:num>
  <w:num w:numId="12">
    <w:abstractNumId w:val="8"/>
  </w:num>
  <w:num w:numId="13">
    <w:abstractNumId w:val="7"/>
  </w:num>
  <w:num w:numId="14">
    <w:abstractNumId w:val="16"/>
  </w:num>
  <w:num w:numId="15">
    <w:abstractNumId w:val="9"/>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B6"/>
    <w:rsid w:val="000128A7"/>
    <w:rsid w:val="00015760"/>
    <w:rsid w:val="00032096"/>
    <w:rsid w:val="00055961"/>
    <w:rsid w:val="0009255B"/>
    <w:rsid w:val="000A08BB"/>
    <w:rsid w:val="000B6B22"/>
    <w:rsid w:val="000F3B74"/>
    <w:rsid w:val="00100CB7"/>
    <w:rsid w:val="0011093E"/>
    <w:rsid w:val="0012466E"/>
    <w:rsid w:val="00130985"/>
    <w:rsid w:val="00135673"/>
    <w:rsid w:val="00147B8D"/>
    <w:rsid w:val="00176BFC"/>
    <w:rsid w:val="00180074"/>
    <w:rsid w:val="0018019C"/>
    <w:rsid w:val="00204C72"/>
    <w:rsid w:val="00204F77"/>
    <w:rsid w:val="00207E50"/>
    <w:rsid w:val="00224610"/>
    <w:rsid w:val="0025174F"/>
    <w:rsid w:val="00266C96"/>
    <w:rsid w:val="002873BA"/>
    <w:rsid w:val="00296F24"/>
    <w:rsid w:val="002A4ACB"/>
    <w:rsid w:val="002A4D63"/>
    <w:rsid w:val="002A622E"/>
    <w:rsid w:val="002A627E"/>
    <w:rsid w:val="002C4250"/>
    <w:rsid w:val="002C4D27"/>
    <w:rsid w:val="002C6B46"/>
    <w:rsid w:val="002D0B53"/>
    <w:rsid w:val="002D627A"/>
    <w:rsid w:val="002F2B69"/>
    <w:rsid w:val="00302487"/>
    <w:rsid w:val="00321605"/>
    <w:rsid w:val="00323BA0"/>
    <w:rsid w:val="00327594"/>
    <w:rsid w:val="00337D36"/>
    <w:rsid w:val="00340179"/>
    <w:rsid w:val="00351DFF"/>
    <w:rsid w:val="003615FF"/>
    <w:rsid w:val="003673CA"/>
    <w:rsid w:val="00381AA3"/>
    <w:rsid w:val="003D22F9"/>
    <w:rsid w:val="003E6D68"/>
    <w:rsid w:val="0041767C"/>
    <w:rsid w:val="00423AFD"/>
    <w:rsid w:val="00443844"/>
    <w:rsid w:val="00466CB8"/>
    <w:rsid w:val="00467D0B"/>
    <w:rsid w:val="00475ED0"/>
    <w:rsid w:val="004846BC"/>
    <w:rsid w:val="0049547F"/>
    <w:rsid w:val="004C46B6"/>
    <w:rsid w:val="004D3414"/>
    <w:rsid w:val="004E1623"/>
    <w:rsid w:val="00514651"/>
    <w:rsid w:val="00540B1D"/>
    <w:rsid w:val="00560119"/>
    <w:rsid w:val="00566A73"/>
    <w:rsid w:val="0058495A"/>
    <w:rsid w:val="00591D51"/>
    <w:rsid w:val="005A307D"/>
    <w:rsid w:val="005C02FC"/>
    <w:rsid w:val="005C0CDC"/>
    <w:rsid w:val="005C3C33"/>
    <w:rsid w:val="005D14F3"/>
    <w:rsid w:val="005D18A0"/>
    <w:rsid w:val="005D44FE"/>
    <w:rsid w:val="005D5FD6"/>
    <w:rsid w:val="005E67C1"/>
    <w:rsid w:val="00613BF1"/>
    <w:rsid w:val="0061570B"/>
    <w:rsid w:val="00667CD0"/>
    <w:rsid w:val="006754EB"/>
    <w:rsid w:val="006A1004"/>
    <w:rsid w:val="006A68AE"/>
    <w:rsid w:val="006A75A5"/>
    <w:rsid w:val="006F17EA"/>
    <w:rsid w:val="006F6208"/>
    <w:rsid w:val="00700482"/>
    <w:rsid w:val="00727FC2"/>
    <w:rsid w:val="007476D7"/>
    <w:rsid w:val="00757CBF"/>
    <w:rsid w:val="0076298A"/>
    <w:rsid w:val="007853CF"/>
    <w:rsid w:val="007956FA"/>
    <w:rsid w:val="007A0F2F"/>
    <w:rsid w:val="007A10B6"/>
    <w:rsid w:val="007B373E"/>
    <w:rsid w:val="007B4985"/>
    <w:rsid w:val="007C0BDB"/>
    <w:rsid w:val="007E5FB3"/>
    <w:rsid w:val="007F74F9"/>
    <w:rsid w:val="007F78D9"/>
    <w:rsid w:val="007F7A14"/>
    <w:rsid w:val="008216A8"/>
    <w:rsid w:val="00822641"/>
    <w:rsid w:val="008504EE"/>
    <w:rsid w:val="00882EF6"/>
    <w:rsid w:val="008873E3"/>
    <w:rsid w:val="00887721"/>
    <w:rsid w:val="008B1217"/>
    <w:rsid w:val="008C56AA"/>
    <w:rsid w:val="008D26E8"/>
    <w:rsid w:val="008D57CA"/>
    <w:rsid w:val="00900C77"/>
    <w:rsid w:val="009147D1"/>
    <w:rsid w:val="00917EF5"/>
    <w:rsid w:val="009225DD"/>
    <w:rsid w:val="009529AC"/>
    <w:rsid w:val="0097004E"/>
    <w:rsid w:val="009856A4"/>
    <w:rsid w:val="009911CD"/>
    <w:rsid w:val="009A5E17"/>
    <w:rsid w:val="009B6682"/>
    <w:rsid w:val="009D5430"/>
    <w:rsid w:val="009D62BB"/>
    <w:rsid w:val="009E38E5"/>
    <w:rsid w:val="009E439C"/>
    <w:rsid w:val="009F4DAD"/>
    <w:rsid w:val="009F6658"/>
    <w:rsid w:val="00A04B97"/>
    <w:rsid w:val="00A05E9E"/>
    <w:rsid w:val="00A15D56"/>
    <w:rsid w:val="00A51ED6"/>
    <w:rsid w:val="00A52D1E"/>
    <w:rsid w:val="00A616FD"/>
    <w:rsid w:val="00A6332E"/>
    <w:rsid w:val="00A9664E"/>
    <w:rsid w:val="00AA4D26"/>
    <w:rsid w:val="00AB4E8F"/>
    <w:rsid w:val="00AC0C74"/>
    <w:rsid w:val="00AC4332"/>
    <w:rsid w:val="00AD16CF"/>
    <w:rsid w:val="00AE4F4F"/>
    <w:rsid w:val="00AF54E1"/>
    <w:rsid w:val="00B05F38"/>
    <w:rsid w:val="00B17181"/>
    <w:rsid w:val="00B22747"/>
    <w:rsid w:val="00B31D47"/>
    <w:rsid w:val="00B40091"/>
    <w:rsid w:val="00B47AA0"/>
    <w:rsid w:val="00B62446"/>
    <w:rsid w:val="00B67CCD"/>
    <w:rsid w:val="00B719D5"/>
    <w:rsid w:val="00B92774"/>
    <w:rsid w:val="00BD1EEE"/>
    <w:rsid w:val="00BE2BBB"/>
    <w:rsid w:val="00BE3040"/>
    <w:rsid w:val="00C11E1A"/>
    <w:rsid w:val="00C1796F"/>
    <w:rsid w:val="00C363ED"/>
    <w:rsid w:val="00C40375"/>
    <w:rsid w:val="00C511B0"/>
    <w:rsid w:val="00C52918"/>
    <w:rsid w:val="00C679CD"/>
    <w:rsid w:val="00CA5399"/>
    <w:rsid w:val="00CA78AE"/>
    <w:rsid w:val="00CE0540"/>
    <w:rsid w:val="00D04667"/>
    <w:rsid w:val="00D12A34"/>
    <w:rsid w:val="00D14C62"/>
    <w:rsid w:val="00D51851"/>
    <w:rsid w:val="00D5254B"/>
    <w:rsid w:val="00D61983"/>
    <w:rsid w:val="00D973D1"/>
    <w:rsid w:val="00DA1CC0"/>
    <w:rsid w:val="00DB280D"/>
    <w:rsid w:val="00DC5B7B"/>
    <w:rsid w:val="00DD2F75"/>
    <w:rsid w:val="00DD4A1E"/>
    <w:rsid w:val="00DD7502"/>
    <w:rsid w:val="00DE6C05"/>
    <w:rsid w:val="00E111D7"/>
    <w:rsid w:val="00E25FB7"/>
    <w:rsid w:val="00E57ADB"/>
    <w:rsid w:val="00EA1732"/>
    <w:rsid w:val="00EA1B61"/>
    <w:rsid w:val="00EA25D4"/>
    <w:rsid w:val="00EC0B36"/>
    <w:rsid w:val="00EE03D9"/>
    <w:rsid w:val="00EE3CC3"/>
    <w:rsid w:val="00EF16A5"/>
    <w:rsid w:val="00EF4951"/>
    <w:rsid w:val="00F00536"/>
    <w:rsid w:val="00F24A23"/>
    <w:rsid w:val="00F25E34"/>
    <w:rsid w:val="00F3154F"/>
    <w:rsid w:val="00F40222"/>
    <w:rsid w:val="00F44F5A"/>
    <w:rsid w:val="00F700FE"/>
    <w:rsid w:val="00F8583B"/>
    <w:rsid w:val="00FE63CD"/>
    <w:rsid w:val="00FE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56550"/>
  <w15:docId w15:val="{224F35F5-1289-4133-A4E6-FB0EB6B7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73E"/>
    <w:pPr>
      <w:tabs>
        <w:tab w:val="left" w:pos="425"/>
      </w:tabs>
      <w:spacing w:after="120" w:line="264" w:lineRule="auto"/>
    </w:pPr>
  </w:style>
  <w:style w:type="paragraph" w:styleId="Heading1">
    <w:name w:val="heading 1"/>
    <w:basedOn w:val="Normal"/>
    <w:next w:val="Normal"/>
    <w:link w:val="Heading1Char"/>
    <w:uiPriority w:val="9"/>
    <w:qFormat/>
    <w:rsid w:val="00C11E1A"/>
    <w:pPr>
      <w:keepNext/>
      <w:keepLines/>
      <w:spacing w:before="120" w:after="40" w:line="240" w:lineRule="auto"/>
      <w:outlineLvl w:val="0"/>
    </w:pPr>
    <w:rPr>
      <w:rFonts w:ascii="Calibri" w:eastAsiaTheme="majorEastAsia" w:hAnsi="Calibri" w:cstheme="majorBidi"/>
      <w:b/>
      <w:color w:val="4A442A" w:themeColor="background2" w:themeShade="40"/>
      <w:sz w:val="26"/>
      <w:szCs w:val="32"/>
    </w:rPr>
  </w:style>
  <w:style w:type="paragraph" w:styleId="Heading2">
    <w:name w:val="heading 2"/>
    <w:basedOn w:val="Normal"/>
    <w:next w:val="Normal"/>
    <w:link w:val="Heading2Char"/>
    <w:uiPriority w:val="9"/>
    <w:unhideWhenUsed/>
    <w:qFormat/>
    <w:rsid w:val="00C11E1A"/>
    <w:pPr>
      <w:keepNext/>
      <w:keepLines/>
      <w:spacing w:before="80" w:after="40" w:line="240" w:lineRule="auto"/>
      <w:outlineLvl w:val="1"/>
    </w:pPr>
    <w:rPr>
      <w:rFonts w:eastAsiaTheme="majorEastAsia" w:cstheme="majorBidi"/>
      <w:b/>
      <w:color w:val="4A442A" w:themeColor="background2" w:themeShade="40"/>
      <w:sz w:val="24"/>
      <w:szCs w:val="26"/>
    </w:rPr>
  </w:style>
  <w:style w:type="paragraph" w:styleId="Heading3">
    <w:name w:val="heading 3"/>
    <w:basedOn w:val="Normal"/>
    <w:next w:val="Normal"/>
    <w:link w:val="Heading3Char"/>
    <w:uiPriority w:val="9"/>
    <w:semiHidden/>
    <w:unhideWhenUsed/>
    <w:qFormat/>
    <w:rsid w:val="00C11E1A"/>
    <w:pPr>
      <w:keepNext/>
      <w:keepLines/>
      <w:spacing w:before="40" w:after="0"/>
      <w:outlineLvl w:val="2"/>
    </w:pPr>
    <w:rPr>
      <w:rFonts w:asciiTheme="majorHAnsi" w:eastAsiaTheme="majorEastAsia" w:hAnsiTheme="majorHAnsi" w:cstheme="majorBidi"/>
      <w:color w:val="4A442A" w:themeColor="background2"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B6"/>
    <w:rPr>
      <w:rFonts w:ascii="Tahoma" w:hAnsi="Tahoma" w:cs="Tahoma"/>
      <w:sz w:val="16"/>
      <w:szCs w:val="16"/>
    </w:rPr>
  </w:style>
  <w:style w:type="paragraph" w:styleId="ListParagraph">
    <w:name w:val="List Paragraph"/>
    <w:aliases w:val="bullet para"/>
    <w:basedOn w:val="Normal"/>
    <w:uiPriority w:val="34"/>
    <w:qFormat/>
    <w:rsid w:val="00B92774"/>
    <w:pPr>
      <w:numPr>
        <w:numId w:val="15"/>
      </w:numPr>
      <w:spacing w:after="100" w:line="252" w:lineRule="auto"/>
      <w:ind w:left="425" w:hanging="425"/>
    </w:pPr>
  </w:style>
  <w:style w:type="paragraph" w:styleId="Header">
    <w:name w:val="header"/>
    <w:basedOn w:val="Normal"/>
    <w:link w:val="HeaderChar"/>
    <w:uiPriority w:val="99"/>
    <w:unhideWhenUsed/>
    <w:rsid w:val="00566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73"/>
  </w:style>
  <w:style w:type="paragraph" w:styleId="Footer">
    <w:name w:val="footer"/>
    <w:basedOn w:val="Normal"/>
    <w:link w:val="FooterChar"/>
    <w:uiPriority w:val="99"/>
    <w:unhideWhenUsed/>
    <w:rsid w:val="00566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73"/>
  </w:style>
  <w:style w:type="character" w:customStyle="1" w:styleId="textexposedshow">
    <w:name w:val="text_exposed_show"/>
    <w:basedOn w:val="DefaultParagraphFont"/>
    <w:rsid w:val="00822641"/>
  </w:style>
  <w:style w:type="character" w:styleId="Hyperlink">
    <w:name w:val="Hyperlink"/>
    <w:basedOn w:val="DefaultParagraphFont"/>
    <w:uiPriority w:val="99"/>
    <w:semiHidden/>
    <w:unhideWhenUsed/>
    <w:rsid w:val="00CA78AE"/>
    <w:rPr>
      <w:color w:val="0000FF"/>
      <w:u w:val="single"/>
    </w:rPr>
  </w:style>
  <w:style w:type="table" w:styleId="TableGrid">
    <w:name w:val="Table Grid"/>
    <w:basedOn w:val="TableNormal"/>
    <w:uiPriority w:val="59"/>
    <w:rsid w:val="0030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F620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208"/>
    <w:rPr>
      <w:rFonts w:ascii="Calibri" w:hAnsi="Calibri" w:cs="Consolas"/>
      <w:szCs w:val="21"/>
    </w:rPr>
  </w:style>
  <w:style w:type="character" w:customStyle="1" w:styleId="Heading1Char">
    <w:name w:val="Heading 1 Char"/>
    <w:basedOn w:val="DefaultParagraphFont"/>
    <w:link w:val="Heading1"/>
    <w:uiPriority w:val="9"/>
    <w:rsid w:val="00C11E1A"/>
    <w:rPr>
      <w:rFonts w:ascii="Calibri" w:eastAsiaTheme="majorEastAsia" w:hAnsi="Calibri" w:cstheme="majorBidi"/>
      <w:b/>
      <w:color w:val="4A442A" w:themeColor="background2" w:themeShade="40"/>
      <w:sz w:val="26"/>
      <w:szCs w:val="32"/>
    </w:rPr>
  </w:style>
  <w:style w:type="character" w:customStyle="1" w:styleId="Heading2Char">
    <w:name w:val="Heading 2 Char"/>
    <w:basedOn w:val="DefaultParagraphFont"/>
    <w:link w:val="Heading2"/>
    <w:uiPriority w:val="9"/>
    <w:rsid w:val="00C11E1A"/>
    <w:rPr>
      <w:rFonts w:eastAsiaTheme="majorEastAsia" w:cstheme="majorBidi"/>
      <w:b/>
      <w:color w:val="4A442A" w:themeColor="background2" w:themeShade="40"/>
      <w:sz w:val="24"/>
      <w:szCs w:val="26"/>
    </w:rPr>
  </w:style>
  <w:style w:type="character" w:styleId="SubtleReference">
    <w:name w:val="Subtle Reference"/>
    <w:aliases w:val="bullet"/>
    <w:basedOn w:val="DefaultParagraphFont"/>
    <w:uiPriority w:val="31"/>
    <w:rsid w:val="00B92774"/>
    <w:rPr>
      <w:smallCaps/>
      <w:color w:val="5A5A5A" w:themeColor="text1" w:themeTint="A5"/>
    </w:rPr>
  </w:style>
  <w:style w:type="character" w:styleId="BookTitle">
    <w:name w:val="Book Title"/>
    <w:aliases w:val="small caps"/>
    <w:basedOn w:val="DefaultParagraphFont"/>
    <w:uiPriority w:val="33"/>
    <w:qFormat/>
    <w:rsid w:val="00B92774"/>
    <w:rPr>
      <w:b/>
      <w:bCs/>
      <w:iCs/>
      <w:caps w:val="0"/>
      <w:smallCaps/>
      <w:strike w:val="0"/>
      <w:dstrike w:val="0"/>
      <w:vanish w:val="0"/>
      <w:spacing w:val="5"/>
      <w:sz w:val="22"/>
      <w:vertAlign w:val="baseline"/>
    </w:rPr>
  </w:style>
  <w:style w:type="paragraph" w:styleId="NoSpacing">
    <w:name w:val="No Spacing"/>
    <w:aliases w:val="normal"/>
    <w:uiPriority w:val="1"/>
    <w:qFormat/>
    <w:rsid w:val="00AD16CF"/>
    <w:pPr>
      <w:tabs>
        <w:tab w:val="left" w:pos="425"/>
      </w:tabs>
      <w:spacing w:after="120" w:line="264" w:lineRule="auto"/>
    </w:pPr>
    <w:rPr>
      <w:rFonts w:eastAsia="PMingLiU" w:cs="Times New Roman"/>
      <w:lang w:val="en-US"/>
    </w:rPr>
  </w:style>
  <w:style w:type="character" w:customStyle="1" w:styleId="Heading3Char">
    <w:name w:val="Heading 3 Char"/>
    <w:basedOn w:val="DefaultParagraphFont"/>
    <w:link w:val="Heading3"/>
    <w:uiPriority w:val="9"/>
    <w:semiHidden/>
    <w:rsid w:val="00C11E1A"/>
    <w:rPr>
      <w:rFonts w:asciiTheme="majorHAnsi" w:eastAsiaTheme="majorEastAsia" w:hAnsiTheme="majorHAnsi" w:cstheme="majorBidi"/>
      <w:color w:val="4A442A" w:themeColor="background2" w:themeShade="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5493">
      <w:bodyDiv w:val="1"/>
      <w:marLeft w:val="0"/>
      <w:marRight w:val="0"/>
      <w:marTop w:val="0"/>
      <w:marBottom w:val="0"/>
      <w:divBdr>
        <w:top w:val="none" w:sz="0" w:space="0" w:color="auto"/>
        <w:left w:val="none" w:sz="0" w:space="0" w:color="auto"/>
        <w:bottom w:val="none" w:sz="0" w:space="0" w:color="auto"/>
        <w:right w:val="none" w:sz="0" w:space="0" w:color="auto"/>
      </w:divBdr>
    </w:div>
    <w:div w:id="214899776">
      <w:bodyDiv w:val="1"/>
      <w:marLeft w:val="0"/>
      <w:marRight w:val="0"/>
      <w:marTop w:val="0"/>
      <w:marBottom w:val="0"/>
      <w:divBdr>
        <w:top w:val="none" w:sz="0" w:space="0" w:color="auto"/>
        <w:left w:val="none" w:sz="0" w:space="0" w:color="auto"/>
        <w:bottom w:val="none" w:sz="0" w:space="0" w:color="auto"/>
        <w:right w:val="none" w:sz="0" w:space="0" w:color="auto"/>
      </w:divBdr>
    </w:div>
    <w:div w:id="279648482">
      <w:bodyDiv w:val="1"/>
      <w:marLeft w:val="0"/>
      <w:marRight w:val="0"/>
      <w:marTop w:val="0"/>
      <w:marBottom w:val="0"/>
      <w:divBdr>
        <w:top w:val="none" w:sz="0" w:space="0" w:color="auto"/>
        <w:left w:val="none" w:sz="0" w:space="0" w:color="auto"/>
        <w:bottom w:val="none" w:sz="0" w:space="0" w:color="auto"/>
        <w:right w:val="none" w:sz="0" w:space="0" w:color="auto"/>
      </w:divBdr>
    </w:div>
    <w:div w:id="291332568">
      <w:bodyDiv w:val="1"/>
      <w:marLeft w:val="0"/>
      <w:marRight w:val="0"/>
      <w:marTop w:val="0"/>
      <w:marBottom w:val="0"/>
      <w:divBdr>
        <w:top w:val="none" w:sz="0" w:space="0" w:color="auto"/>
        <w:left w:val="none" w:sz="0" w:space="0" w:color="auto"/>
        <w:bottom w:val="none" w:sz="0" w:space="0" w:color="auto"/>
        <w:right w:val="none" w:sz="0" w:space="0" w:color="auto"/>
      </w:divBdr>
    </w:div>
    <w:div w:id="927662985">
      <w:bodyDiv w:val="1"/>
      <w:marLeft w:val="0"/>
      <w:marRight w:val="0"/>
      <w:marTop w:val="0"/>
      <w:marBottom w:val="0"/>
      <w:divBdr>
        <w:top w:val="none" w:sz="0" w:space="0" w:color="auto"/>
        <w:left w:val="none" w:sz="0" w:space="0" w:color="auto"/>
        <w:bottom w:val="none" w:sz="0" w:space="0" w:color="auto"/>
        <w:right w:val="none" w:sz="0" w:space="0" w:color="auto"/>
      </w:divBdr>
    </w:div>
    <w:div w:id="959578264">
      <w:bodyDiv w:val="1"/>
      <w:marLeft w:val="0"/>
      <w:marRight w:val="0"/>
      <w:marTop w:val="0"/>
      <w:marBottom w:val="0"/>
      <w:divBdr>
        <w:top w:val="none" w:sz="0" w:space="0" w:color="auto"/>
        <w:left w:val="none" w:sz="0" w:space="0" w:color="auto"/>
        <w:bottom w:val="none" w:sz="0" w:space="0" w:color="auto"/>
        <w:right w:val="none" w:sz="0" w:space="0" w:color="auto"/>
      </w:divBdr>
    </w:div>
    <w:div w:id="1177839966">
      <w:bodyDiv w:val="1"/>
      <w:marLeft w:val="0"/>
      <w:marRight w:val="0"/>
      <w:marTop w:val="0"/>
      <w:marBottom w:val="0"/>
      <w:divBdr>
        <w:top w:val="none" w:sz="0" w:space="0" w:color="auto"/>
        <w:left w:val="none" w:sz="0" w:space="0" w:color="auto"/>
        <w:bottom w:val="none" w:sz="0" w:space="0" w:color="auto"/>
        <w:right w:val="none" w:sz="0" w:space="0" w:color="auto"/>
      </w:divBdr>
    </w:div>
    <w:div w:id="1212884565">
      <w:bodyDiv w:val="1"/>
      <w:marLeft w:val="0"/>
      <w:marRight w:val="0"/>
      <w:marTop w:val="0"/>
      <w:marBottom w:val="0"/>
      <w:divBdr>
        <w:top w:val="none" w:sz="0" w:space="0" w:color="auto"/>
        <w:left w:val="none" w:sz="0" w:space="0" w:color="auto"/>
        <w:bottom w:val="none" w:sz="0" w:space="0" w:color="auto"/>
        <w:right w:val="none" w:sz="0" w:space="0" w:color="auto"/>
      </w:divBdr>
    </w:div>
    <w:div w:id="1825077262">
      <w:bodyDiv w:val="1"/>
      <w:marLeft w:val="0"/>
      <w:marRight w:val="0"/>
      <w:marTop w:val="0"/>
      <w:marBottom w:val="0"/>
      <w:divBdr>
        <w:top w:val="none" w:sz="0" w:space="0" w:color="auto"/>
        <w:left w:val="none" w:sz="0" w:space="0" w:color="auto"/>
        <w:bottom w:val="none" w:sz="0" w:space="0" w:color="auto"/>
        <w:right w:val="none" w:sz="0" w:space="0" w:color="auto"/>
      </w:divBdr>
    </w:div>
    <w:div w:id="1947419630">
      <w:bodyDiv w:val="1"/>
      <w:marLeft w:val="0"/>
      <w:marRight w:val="0"/>
      <w:marTop w:val="0"/>
      <w:marBottom w:val="0"/>
      <w:divBdr>
        <w:top w:val="none" w:sz="0" w:space="0" w:color="auto"/>
        <w:left w:val="none" w:sz="0" w:space="0" w:color="auto"/>
        <w:bottom w:val="none" w:sz="0" w:space="0" w:color="auto"/>
        <w:right w:val="none" w:sz="0" w:space="0" w:color="auto"/>
      </w:divBdr>
    </w:div>
    <w:div w:id="1980450962">
      <w:bodyDiv w:val="1"/>
      <w:marLeft w:val="0"/>
      <w:marRight w:val="0"/>
      <w:marTop w:val="0"/>
      <w:marBottom w:val="0"/>
      <w:divBdr>
        <w:top w:val="none" w:sz="0" w:space="0" w:color="auto"/>
        <w:left w:val="none" w:sz="0" w:space="0" w:color="auto"/>
        <w:bottom w:val="none" w:sz="0" w:space="0" w:color="auto"/>
        <w:right w:val="none" w:sz="0" w:space="0" w:color="auto"/>
      </w:divBdr>
    </w:div>
    <w:div w:id="2083334416">
      <w:bodyDiv w:val="1"/>
      <w:marLeft w:val="0"/>
      <w:marRight w:val="0"/>
      <w:marTop w:val="0"/>
      <w:marBottom w:val="0"/>
      <w:divBdr>
        <w:top w:val="none" w:sz="0" w:space="0" w:color="auto"/>
        <w:left w:val="none" w:sz="0" w:space="0" w:color="auto"/>
        <w:bottom w:val="none" w:sz="0" w:space="0" w:color="auto"/>
        <w:right w:val="none" w:sz="0" w:space="0" w:color="auto"/>
      </w:divBdr>
    </w:div>
    <w:div w:id="21105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doi/full/10.1080/02680939.2020.179255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1988/40/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ndfonline.com/doi/full/10.1080/02680939.2020.179255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14" ma:contentTypeDescription="Create a new document." ma:contentTypeScope="" ma:versionID="5315b0140cc8a727b1ef56e5b65e0b5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80d0f0377340ce34dd72e1c27adaeb48"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133f32fb-178e-4c4f-9132-03ceda392260" xsi:nil="true"/>
  </documentManagement>
</p:properties>
</file>

<file path=customXml/itemProps1.xml><?xml version="1.0" encoding="utf-8"?>
<ds:datastoreItem xmlns:ds="http://schemas.openxmlformats.org/officeDocument/2006/customXml" ds:itemID="{1D89D84E-DADE-4CD4-8B83-C8648707FBA7}">
  <ds:schemaRefs>
    <ds:schemaRef ds:uri="http://schemas.openxmlformats.org/officeDocument/2006/bibliography"/>
  </ds:schemaRefs>
</ds:datastoreItem>
</file>

<file path=customXml/itemProps2.xml><?xml version="1.0" encoding="utf-8"?>
<ds:datastoreItem xmlns:ds="http://schemas.openxmlformats.org/officeDocument/2006/customXml" ds:itemID="{D08280F2-38DF-4FF4-B6BC-55EE0C58F489}"/>
</file>

<file path=customXml/itemProps3.xml><?xml version="1.0" encoding="utf-8"?>
<ds:datastoreItem xmlns:ds="http://schemas.openxmlformats.org/officeDocument/2006/customXml" ds:itemID="{E283040C-3A9A-4553-AB71-AE075E843672}">
  <ds:schemaRefs>
    <ds:schemaRef ds:uri="http://schemas.microsoft.com/sharepoint/v3/contenttype/forms"/>
  </ds:schemaRefs>
</ds:datastoreItem>
</file>

<file path=customXml/itemProps4.xml><?xml version="1.0" encoding="utf-8"?>
<ds:datastoreItem xmlns:ds="http://schemas.openxmlformats.org/officeDocument/2006/customXml" ds:itemID="{E7F4D470-3751-42CF-A32A-512E6B4607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WN draft partnership proposl</vt:lpstr>
    </vt:vector>
  </TitlesOfParts>
  <Company>Medway Council</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 draft partnership proposl</dc:title>
  <dc:subject/>
  <dc:creator>Chris.Kiernan@westnorthants.gov.uk</dc:creator>
  <cp:keywords/>
  <dc:description>first draft for DCS comments / amendments</dc:description>
  <cp:lastModifiedBy>Chris Kiernan</cp:lastModifiedBy>
  <cp:revision>2</cp:revision>
  <cp:lastPrinted>2018-06-11T12:55:00Z</cp:lastPrinted>
  <dcterms:created xsi:type="dcterms:W3CDTF">2022-01-11T08:12:00Z</dcterms:created>
  <dcterms:modified xsi:type="dcterms:W3CDTF">2022-01-11T08:12:00Z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ies>
</file>